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rPr>
          <w:rFonts w:ascii="Times New Roman" w:hAnsi="Times New Roman"/>
          <w:b/>
          <w:i w:val="0"/>
          <w:sz w:val="21"/>
        </w:rPr>
        <w:t xml:space="preserve">1.12. </w:t>
      </w:r>
      <w:r>
        <w:rPr>
          <w:rFonts w:ascii="Times New Roman" w:hAnsi="Times New Roman"/>
          <w:b w:val="0"/>
          <w:i w:val="0"/>
          <w:sz w:val="21"/>
        </w:rPr>
        <w:t>Карточка релиза — электронная запись в ЛКПО, содержащая файлы, Метаданные, идентификаторы, сведения о долях прав, применяемом тарифе и иные сведения о конкретном Релизе.</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rPr>
          <w:rFonts w:ascii="Times New Roman" w:hAnsi="Times New Roman"/>
          <w:b/>
          <w:i w:val="0"/>
          <w:sz w:val="21"/>
        </w:rPr>
        <w:t xml:space="preserve">2.2. </w:t>
      </w:r>
      <w:r>
        <w:rPr>
          <w:rFonts w:ascii="Times New Roman" w:hAnsi="Times New Roman"/>
          <w:b w:val="0"/>
          <w:i w:val="0"/>
          <w:sz w:val="21"/>
        </w:rPr>
        <w:t>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i w:val="0"/>
          <w:sz w:val="21"/>
        </w:rPr>
        <w:t xml:space="preserve">2.3. </w:t>
      </w:r>
      <w:r>
        <w:rPr>
          <w:rFonts w:ascii="Times New Roman" w:hAnsi="Times New Roman"/>
          <w:b w:val="0"/>
          <w:i w:val="0"/>
          <w:sz w:val="21"/>
        </w:rPr>
        <w:t>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и кодирование; создание технических превью и фрагментов; использование в музыкальных библиотеках, функциях Content ID/fingerprinting и пользовательском контенте Сервисов; иные технически эквивалентные способы цифрового использования, не выходящие за экономическую цель настоящего Договора.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rPr>
          <w:rFonts w:ascii="Times New Roman" w:hAnsi="Times New Roman"/>
          <w:b/>
          <w:i w:val="0"/>
          <w:sz w:val="21"/>
        </w:rPr>
        <w:t xml:space="preserve">2.7. </w:t>
      </w:r>
      <w:r>
        <w:rPr>
          <w:rFonts w:ascii="Times New Roman" w:hAnsi="Times New Roman"/>
          <w:b w:val="0"/>
          <w:i w:val="0"/>
          <w:sz w:val="21"/>
        </w:rPr>
        <w:t>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i w:val="0"/>
          <w:sz w:val="21"/>
        </w:rPr>
        <w:t xml:space="preserve">2.8. </w:t>
      </w:r>
      <w:r>
        <w:rPr>
          <w:rFonts w:ascii="Times New Roman" w:hAnsi="Times New Roman"/>
          <w:b w:val="0"/>
          <w:i w:val="0"/>
          <w:sz w:val="21"/>
        </w:rPr>
        <w:t>Если Лицензиару принадлежит менее 100% прав, лицензия предоставляется только в пределах заявленной и фактически принадлежащей ему доли. Вознаграждение рассчитывается пропорционально такой доле.</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rPr>
          <w:rFonts w:ascii="Times New Roman" w:hAnsi="Times New Roman"/>
          <w:b/>
          <w:i w:val="0"/>
          <w:sz w:val="21"/>
        </w:rPr>
        <w:t xml:space="preserve">3.5. </w:t>
      </w:r>
      <w:r>
        <w:rPr>
          <w:rFonts w:ascii="Times New Roman" w:hAnsi="Times New Roman"/>
          <w:b w:val="0"/>
          <w:i w:val="0"/>
          <w:sz w:val="21"/>
        </w:rPr>
        <w:t>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rPr>
          <w:rFonts w:ascii="Times New Roman" w:hAnsi="Times New Roman"/>
          <w:b/>
          <w:i w:val="0"/>
          <w:sz w:val="21"/>
        </w:rPr>
        <w:t xml:space="preserve">3.8. </w:t>
      </w:r>
      <w:r>
        <w:rPr>
          <w:rFonts w:ascii="Times New Roman" w:hAnsi="Times New Roman"/>
          <w:b w:val="0"/>
          <w:i w:val="0"/>
          <w:sz w:val="21"/>
        </w:rPr>
        <w:t>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i w:val="0"/>
          <w:sz w:val="21"/>
        </w:rPr>
        <w:t xml:space="preserve">4.3. </w:t>
      </w:r>
      <w:r>
        <w:rPr>
          <w:rFonts w:ascii="Times New Roman" w:hAnsi="Times New Roman"/>
          <w:b w:val="0"/>
          <w:i w:val="0"/>
          <w:sz w:val="21"/>
        </w:rPr>
        <w:t>Лицензиат вправе привлекать третьих лиц для технической и организационной реализации прав. Стороны учитывают самостоятельность Агрегаторов и Сервисов: Лицензиат отвечает за собственные действия и инструкции, но не отвечает за самостоятельные сбои, решения и задержки третьих лиц, если они не вызваны нарушением Лицензиатом своих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rPr>
          <w:rFonts w:ascii="Times New Roman" w:hAnsi="Times New Roman"/>
          <w:b/>
          <w:i w:val="0"/>
          <w:sz w:val="21"/>
        </w:rPr>
        <w:t xml:space="preserve">6.2. </w:t>
      </w:r>
      <w:r>
        <w:rPr>
          <w:rFonts w:ascii="Times New Roman" w:hAnsi="Times New Roman"/>
          <w:b w:val="0"/>
          <w:i w:val="0"/>
          <w:sz w:val="21"/>
        </w:rPr>
        <w:t>Лицензиат предоставляет Отчет в ЛКПО, как правило, в течение 90 календарных дней после окончания соответствующего Отчетного периода. Если необходимые Исходные данные поступили позднее по причинам, не зависящим от Лицензиата, соответствующая часть Отчета предоставляется в течение 15 рабочих дней после ее фактического получения и технической обработки.</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rPr>
          <w:rFonts w:ascii="Times New Roman" w:hAnsi="Times New Roman"/>
          <w:b/>
          <w:i w:val="0"/>
          <w:sz w:val="21"/>
        </w:rPr>
        <w:t xml:space="preserve">6.14. </w:t>
      </w:r>
      <w:r>
        <w:rPr>
          <w:rFonts w:ascii="Times New Roman" w:hAnsi="Times New Roman"/>
          <w:b w:val="0"/>
          <w:i w:val="0"/>
          <w:sz w:val="21"/>
        </w:rPr>
        <w:t>По технической возможности Лицензиат сохраняет историю существенных финансовых корректировок или дату их внесения. Отсутствие прежней визуальной версии в интерфейсе не означает уничтожение Исходных данных.</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rPr>
          <w:rFonts w:ascii="Times New Roman" w:hAnsi="Times New Roman"/>
          <w:b/>
          <w:i w:val="0"/>
          <w:sz w:val="21"/>
        </w:rPr>
        <w:t xml:space="preserve">7.3. </w:t>
      </w:r>
      <w:r>
        <w:rPr>
          <w:rFonts w:ascii="Times New Roman" w:hAnsi="Times New Roman"/>
          <w:b w:val="0"/>
          <w:i w:val="0"/>
          <w:sz w:val="21"/>
        </w:rPr>
        <w:t>Минимальная сумма, доступная для Заявки на выплату, составляет 2 000 рублей, если для применяемого Тарифа в ЛКПО не предусмотрен иной порог.</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rPr>
          <w:rFonts w:ascii="Times New Roman" w:hAnsi="Times New Roman"/>
          <w:b/>
          <w:i w:val="0"/>
          <w:sz w:val="21"/>
        </w:rPr>
        <w:t xml:space="preserve">7.6. </w:t>
      </w:r>
      <w:r>
        <w:rPr>
          <w:rFonts w:ascii="Times New Roman" w:hAnsi="Times New Roman"/>
          <w:b w:val="0"/>
          <w:i w:val="0"/>
          <w:sz w:val="21"/>
        </w:rPr>
        <w:t>Для включения выплаты в Платежный период должны быть одновременно выполнены следующие условия: соответствующая часть Отчета согласована; достигнут минимальный порог; подана Заявка на выплату; предоставлены актуальные реквизиты и необходимые для платежа документы; отсутствуют основания для удержания спорной суммы; соответствующие средства получены Лицензиатом от Агрегатора либо доступны к получению в его ближайшем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rPr>
          <w:rFonts w:ascii="Times New Roman" w:hAnsi="Times New Roman"/>
          <w:b/>
          <w:i w:val="0"/>
          <w:sz w:val="21"/>
        </w:rPr>
        <w:t xml:space="preserve">7.9. </w:t>
      </w:r>
      <w:r>
        <w:rPr>
          <w:rFonts w:ascii="Times New Roman" w:hAnsi="Times New Roman"/>
          <w:b w:val="0"/>
          <w:i w:val="0"/>
          <w:sz w:val="21"/>
        </w:rPr>
        <w:t>После принятия надлежащей Заявки Лицензиат инициирует необходимые действия по получению соответствующих средств от Агрегатора и осуществляет перечисление в течение соответствующего Платежного периода. Если Агрегатор задерживает передачу денег, проводит проверку или ограничивает вывод по причинам, не зависящим от Лицензиата, перечисление производится в течение 10 рабочих дней после фактического получения соответствующих средств и снятия ограничения.</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rPr>
          <w:rFonts w:ascii="Times New Roman" w:hAnsi="Times New Roman"/>
          <w:b/>
          <w:i w:val="0"/>
          <w:sz w:val="21"/>
        </w:rPr>
        <w:t xml:space="preserve">7.13. </w:t>
      </w:r>
      <w:r>
        <w:rPr>
          <w:rFonts w:ascii="Times New Roman" w:hAnsi="Times New Roman"/>
          <w:b w:val="0"/>
          <w:i w:val="0"/>
          <w:sz w:val="21"/>
        </w:rPr>
        <w:t>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rPr>
          <w:rFonts w:ascii="Times New Roman" w:hAnsi="Times New Roman"/>
          <w:b/>
          <w:i w:val="0"/>
          <w:sz w:val="21"/>
        </w:rPr>
        <w:t xml:space="preserve">7.14. </w:t>
      </w:r>
      <w:r>
        <w:rPr>
          <w:rFonts w:ascii="Times New Roman" w:hAnsi="Times New Roman"/>
          <w:b w:val="0"/>
          <w:i w:val="0"/>
          <w:sz w:val="21"/>
        </w:rPr>
        <w:t>Лицензиар, применяющий налог на профессиональный доход, обязан до выплаты сообщить об утрате соответствующего статуса и после получения дохода сформировать чек в установленном законом порядке.</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rPr>
          <w:rFonts w:ascii="Times New Roman" w:hAnsi="Times New Roman"/>
          <w:b/>
          <w:i w:val="0"/>
          <w:sz w:val="21"/>
        </w:rPr>
        <w:t xml:space="preserve">8.9. </w:t>
      </w:r>
      <w:r>
        <w:rPr>
          <w:rFonts w:ascii="Times New Roman" w:hAnsi="Times New Roman"/>
          <w:b w:val="0"/>
          <w:i w:val="0"/>
          <w:sz w:val="21"/>
        </w:rPr>
        <w:t>Техническая ошибка ЛКПО не освобождает Стороны от фактически возникших денежных обязательств. После выявления подтвержденной ошибки Стороны приводят учет в соответствие с Исходными данными.</w:t>
      </w:r>
    </w:p>
    <w:p>
      <w:pPr>
        <w:pStyle w:val="Clause"/>
        <w:widowControl/>
      </w:pPr>
      <w:r>
        <w:rPr>
          <w:rFonts w:ascii="Times New Roman" w:hAnsi="Times New Roman"/>
          <w:b/>
          <w:i w:val="0"/>
          <w:sz w:val="21"/>
        </w:rPr>
        <w:t xml:space="preserve">8.10. </w:t>
      </w:r>
      <w:r>
        <w:rPr>
          <w:rFonts w:ascii="Times New Roman" w:hAnsi="Times New Roman"/>
          <w:b w:val="0"/>
          <w:i w:val="0"/>
          <w:sz w:val="21"/>
        </w:rPr>
        <w:t>ЛКПО предоставляется с учетом обычных для информационных систем технологических рисков. Лицензиат принимает разумные меры для работоспособности и сохранности данных, но не гарантирует абсолютное отсутствие временных сбоев.</w:t>
      </w:r>
    </w:p>
    <w:p>
      <w:pPr>
        <w:pStyle w:val="Clause"/>
        <w:widowControl/>
      </w:pPr>
      <w:r>
        <w:rPr>
          <w:rFonts w:ascii="Times New Roman" w:hAnsi="Times New Roman"/>
          <w:b/>
          <w:i w:val="0"/>
          <w:sz w:val="21"/>
        </w:rPr>
        <w:t xml:space="preserve">8.11. </w:t>
      </w:r>
      <w:r>
        <w:rPr>
          <w:rFonts w:ascii="Times New Roman" w:hAnsi="Times New Roman"/>
          <w:b w:val="0"/>
          <w:i w:val="0"/>
          <w:sz w:val="21"/>
        </w:rPr>
        <w:t>Если подтвержденная недоступность ЛКПО препятствовала Лицензиару совершить действие в последний день установленного Договором срока, такой срок продлевается на время недоступности и два рабочих дня после восстановления.</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rPr>
          <w:rFonts w:ascii="Times New Roman" w:hAnsi="Times New Roman"/>
          <w:b/>
          <w:i w:val="0"/>
          <w:sz w:val="21"/>
        </w:rPr>
        <w:t xml:space="preserve">9.5. </w:t>
      </w:r>
      <w:r>
        <w:rPr>
          <w:rFonts w:ascii="Times New Roman" w:hAnsi="Times New Roman"/>
          <w:b w:val="0"/>
          <w:i w:val="0"/>
          <w:sz w:val="21"/>
        </w:rPr>
        <w:t>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rPr>
          <w:rFonts w:ascii="Times New Roman" w:hAnsi="Times New Roman"/>
          <w:b/>
          <w:i w:val="0"/>
          <w:sz w:val="21"/>
        </w:rPr>
        <w:t xml:space="preserve">10.3. </w:t>
      </w:r>
      <w:r>
        <w:rPr>
          <w:rFonts w:ascii="Times New Roman" w:hAnsi="Times New Roman"/>
          <w:b w:val="0"/>
          <w:i w:val="0"/>
          <w:sz w:val="21"/>
        </w:rPr>
        <w:t>Персональные данные Лицензиара обрабатываются в объеме, необходимом для заключения и исполнения Договора, расчетов, бухгалтерского и налогового учета, безопасности ЛКПО и защиты прав Сторон, если такая обработка допускается законодательством без отдельного согласия.</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rPr>
          <w:rFonts w:ascii="Times New Roman" w:hAnsi="Times New Roman"/>
          <w:b/>
          <w:i w:val="0"/>
          <w:sz w:val="21"/>
        </w:rPr>
        <w:t xml:space="preserve">11.3. </w:t>
      </w:r>
      <w:r>
        <w:rPr>
          <w:rFonts w:ascii="Times New Roman" w:hAnsi="Times New Roman"/>
          <w:b w:val="0"/>
          <w:i w:val="0"/>
          <w:sz w:val="21"/>
        </w:rPr>
        <w:t>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w:t>
      </w:r>
    </w:p>
    <w:p>
      <w:pPr>
        <w:pStyle w:val="Clause"/>
        <w:widowControl/>
      </w:pPr>
      <w:r>
        <w:rPr>
          <w:rFonts w:ascii="Times New Roman" w:hAnsi="Times New Roman"/>
          <w:b/>
          <w:i w:val="0"/>
          <w:sz w:val="21"/>
        </w:rPr>
        <w:t xml:space="preserve">11.4. </w:t>
      </w:r>
      <w:r>
        <w:rPr>
          <w:rFonts w:ascii="Times New Roman" w:hAnsi="Times New Roman"/>
          <w:b w:val="0"/>
          <w:i w:val="0"/>
          <w:sz w:val="21"/>
        </w:rPr>
        <w:t>Если для полного ответа требуется информация Агрегатора, Сервиса, банка или иного третьего лица, отвечающая Сторона вправе направить промежуточный ответ с указанием на проведение дополнительной проверки.</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rPr>
          <w:rFonts w:ascii="Times New Roman" w:hAnsi="Times New Roman"/>
          <w:b/>
          <w:i w:val="0"/>
          <w:sz w:val="21"/>
        </w:rPr>
        <w:t xml:space="preserve">11.7. </w:t>
      </w:r>
      <w:r>
        <w:rPr>
          <w:rFonts w:ascii="Times New Roman" w:hAnsi="Times New Roman"/>
          <w:b w:val="0"/>
          <w:i w:val="0"/>
          <w:sz w:val="21"/>
        </w:rPr>
        <w:t>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rPr>
          <w:rFonts w:ascii="Times New Roman" w:hAnsi="Times New Roman"/>
          <w:b/>
          <w:i w:val="0"/>
          <w:sz w:val="21"/>
        </w:rPr>
        <w:t xml:space="preserve">12.1. </w:t>
      </w:r>
      <w:r>
        <w:rPr>
          <w:rFonts w:ascii="Times New Roman" w:hAnsi="Times New Roman"/>
          <w:b w:val="0"/>
          <w:i w:val="0"/>
          <w:sz w:val="21"/>
        </w:rPr>
        <w:t>Настоящий Договор, Карточки релизов,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val="0"/>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widowControl/>
      </w:pPr>
      <w:r>
        <w:br w:type="page"/>
      </w:r>
    </w:p>
    <w:p>
      <w:pPr>
        <w:pStyle w:val="Heading1"/>
        <w:ind w:firstLine="0"/>
        <w:widowControl/>
      </w:pPr>
      <w:r>
        <w:rPr>
          <w:rFonts w:ascii="Times New Roman" w:hAnsi="Times New Roman"/>
          <w:b/>
          <w:i w:val="0"/>
          <w:color w:val="000000"/>
          <w:sz w:val="24"/>
        </w:rPr>
        <w:t>ПРИЛОЖЕНИЕ № 1. ЭЛЕКТРОННАЯ КАРТОЧКА РЕЛИЗА</w:t>
      </w:r>
    </w:p>
    <w:p>
      <w:pPr>
        <w:pStyle w:val="Small"/>
        <w:ind w:firstLine="0"/>
        <w:jc w:val="both"/>
        <w:widowControl/>
      </w:pPr>
      <w:r>
        <w:rPr>
          <w:rFonts w:ascii="Times New Roman" w:hAnsi="Times New Roman"/>
          <w:b w:val="0"/>
          <w:i w:val="0"/>
          <w:sz w:val="19"/>
        </w:rPr>
        <w:t>Электронная Карточка релиза является способом индивидуализации конкретных Объектов, передаваемых по Договору. В ЛКПО могут использоваться дополнительные поля, необходимые Агрегаторам и Сервисам.</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19"/>
              </w:rPr>
              <w:t>Поле</w:t>
            </w:r>
          </w:p>
        </w:tc>
        <w:tc>
          <w:tcPr>
            <w:tcW w:type="dxa" w:w="4986"/>
          </w:tcPr>
          <w:p>
            <w:pPr>
              <w:ind w:firstLine="0"/>
            </w:pPr>
            <w:r>
              <w:rPr>
                <w:rFonts w:ascii="Times New Roman" w:hAnsi="Times New Roman"/>
                <w:b/>
                <w:i w:val="0"/>
                <w:sz w:val="19"/>
              </w:rPr>
              <w:t>Значение</w:t>
            </w:r>
          </w:p>
        </w:tc>
      </w:tr>
      <w:tr>
        <w:tc>
          <w:tcPr>
            <w:tcW w:type="dxa" w:w="4986"/>
            <w:vAlign w:val="top"/>
          </w:tcPr>
          <w:p>
            <w:pPr>
              <w:spacing w:after="20"/>
              <w:ind w:firstLine="0"/>
            </w:pPr>
            <w:r>
              <w:rPr>
                <w:rFonts w:ascii="Times New Roman" w:hAnsi="Times New Roman"/>
                <w:b w:val="0"/>
                <w:i w:val="0"/>
                <w:sz w:val="18"/>
              </w:rPr>
              <w:t>Внутренний ID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Название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Исполнитель / псевдоним</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Тип Релиза</w:t>
            </w:r>
          </w:p>
        </w:tc>
        <w:tc>
          <w:tcPr>
            <w:tcW w:type="dxa" w:w="4986"/>
            <w:vAlign w:val="top"/>
          </w:tcPr>
          <w:p>
            <w:pPr>
              <w:spacing w:after="20"/>
              <w:ind w:firstLine="0"/>
            </w:pPr>
            <w:r>
              <w:rPr>
                <w:rFonts w:ascii="Times New Roman" w:hAnsi="Times New Roman"/>
                <w:b w:val="0"/>
                <w:i w:val="0"/>
                <w:sz w:val="18"/>
              </w:rPr>
              <w:t>сингл / EP / альбом / видео / иное</w:t>
            </w:r>
          </w:p>
        </w:tc>
      </w:tr>
      <w:tr>
        <w:tc>
          <w:tcPr>
            <w:tcW w:type="dxa" w:w="4986"/>
            <w:vAlign w:val="top"/>
          </w:tcPr>
          <w:p>
            <w:pPr>
              <w:spacing w:after="20"/>
              <w:ind w:firstLine="0"/>
            </w:pPr>
            <w:r>
              <w:rPr>
                <w:rFonts w:ascii="Times New Roman" w:hAnsi="Times New Roman"/>
                <w:b w:val="0"/>
                <w:i w:val="0"/>
                <w:sz w:val="18"/>
              </w:rPr>
              <w:t>Дата планируемого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UPC/EAN</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ISRC и перечень треков</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Авторы музыки</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Авторы текста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Изготовитель фонограммы</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Доля прав Лицензиара</w:t>
            </w:r>
          </w:p>
        </w:tc>
        <w:tc>
          <w:tcPr>
            <w:tcW w:type="dxa" w:w="4986"/>
            <w:vAlign w:val="top"/>
          </w:tcPr>
          <w:p>
            <w:pPr>
              <w:spacing w:after="20"/>
              <w:ind w:firstLine="0"/>
            </w:pPr>
            <w:r>
              <w:rPr>
                <w:rFonts w:ascii="Times New Roman" w:hAnsi="Times New Roman"/>
                <w:b w:val="0"/>
                <w:i w:val="0"/>
                <w:sz w:val="18"/>
              </w:rPr>
              <w:t>________ %</w:t>
            </w:r>
          </w:p>
        </w:tc>
      </w:tr>
      <w:tr>
        <w:tc>
          <w:tcPr>
            <w:tcW w:type="dxa" w:w="4986"/>
            <w:vAlign w:val="top"/>
          </w:tcPr>
          <w:p>
            <w:pPr>
              <w:spacing w:after="20"/>
              <w:ind w:firstLine="0"/>
            </w:pPr>
            <w:r>
              <w:rPr>
                <w:rFonts w:ascii="Times New Roman" w:hAnsi="Times New Roman"/>
                <w:b w:val="0"/>
                <w:i w:val="0"/>
                <w:sz w:val="18"/>
              </w:rPr>
              <w:t>Тариф / ставка Лицензиара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Территория</w:t>
            </w:r>
          </w:p>
        </w:tc>
        <w:tc>
          <w:tcPr>
            <w:tcW w:type="dxa" w:w="4986"/>
            <w:vAlign w:val="top"/>
          </w:tcPr>
          <w:p>
            <w:pPr>
              <w:spacing w:after="20"/>
              <w:ind w:firstLine="0"/>
            </w:pPr>
            <w:r>
              <w:rPr>
                <w:rFonts w:ascii="Times New Roman" w:hAnsi="Times New Roman"/>
                <w:b w:val="0"/>
                <w:i w:val="0"/>
                <w:sz w:val="18"/>
              </w:rPr>
              <w:t>весь мир / иное: ________________</w:t>
            </w:r>
          </w:p>
        </w:tc>
      </w:tr>
      <w:tr>
        <w:tc>
          <w:tcPr>
            <w:tcW w:type="dxa" w:w="4986"/>
            <w:vAlign w:val="top"/>
          </w:tcPr>
          <w:p>
            <w:pPr>
              <w:spacing w:after="20"/>
              <w:ind w:firstLine="0"/>
            </w:pPr>
            <w:r>
              <w:rPr>
                <w:rFonts w:ascii="Times New Roman" w:hAnsi="Times New Roman"/>
                <w:b w:val="0"/>
                <w:i w:val="0"/>
                <w:sz w:val="18"/>
              </w:rPr>
              <w:t>Explicit / возрастная маркировка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Кавер / сэмплы / ремикс / иные особенности</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Иные ограничения/условия</w:t>
            </w:r>
          </w:p>
        </w:tc>
        <w:tc>
          <w:tcPr>
            <w:tcW w:type="dxa" w:w="4986"/>
            <w:vAlign w:val="top"/>
          </w:tcPr>
          <w:p>
            <w:pPr>
              <w:spacing w:after="20"/>
              <w:ind w:firstLine="0"/>
            </w:pPr>
            <w:r>
              <w:rPr>
                <w:rFonts w:ascii="Times New Roman" w:hAnsi="Times New Roman"/>
                <w:b w:val="0"/>
                <w:i w:val="0"/>
                <w:sz w:val="18"/>
              </w:rPr>
              <w:t>____________________________</w:t>
            </w:r>
          </w:p>
        </w:tc>
      </w:tr>
    </w:tbl>
    <w:p>
      <w:pPr>
        <w:pStyle w:val="Small"/>
        <w:ind w:firstLine="0"/>
        <w:jc w:val="both"/>
        <w:widowControl/>
      </w:pPr>
      <w:r>
        <w:rPr>
          <w:rFonts w:ascii="Times New Roman" w:hAnsi="Times New Roman"/>
          <w:b w:val="0"/>
          <w:i w:val="0"/>
          <w:sz w:val="19"/>
        </w:rPr>
        <w:t>Подтверждение Карточки релиза в ЛКПО означает подтверждение Лицензиаром достоверности внесенных сведений, наличия прав в указанной доле и передачу соответствующего Релиза на условиях Договора.</w:t>
      </w:r>
    </w:p>
    <w:p>
      <w:pPr>
        <w:widowControl/>
      </w:pPr>
      <w:r>
        <w:br w:type="page"/>
      </w:r>
    </w:p>
    <w:p>
      <w:pPr>
        <w:pStyle w:val="Heading1"/>
        <w:ind w:firstLine="0"/>
        <w:widowControl/>
      </w:pPr>
      <w:r>
        <w:rPr>
          <w:rFonts w:ascii="Times New Roman" w:hAnsi="Times New Roman"/>
          <w:b/>
          <w:i w:val="0"/>
          <w:color w:val="000000"/>
          <w:sz w:val="24"/>
        </w:rPr>
        <w:t>ПРИЛОЖЕНИЕ № 2.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p>
      <w:pPr>
        <w:pStyle w:val="Small"/>
        <w:ind w:firstLine="0"/>
        <w:jc w:val="both"/>
        <w:widowControl/>
      </w:pPr>
      <w:r>
        <w:rPr>
          <w:rFonts w:ascii="Times New Roman" w:hAnsi="Times New Roman"/>
          <w:b/>
          <w:i w:val="0"/>
          <w:sz w:val="19"/>
        </w:rPr>
        <w:t>Ориентировочный документооборот:</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ind w:firstLine="0"/>
            </w:pPr>
            <w:r>
              <w:rPr>
                <w:rFonts w:ascii="Times New Roman" w:hAnsi="Times New Roman"/>
                <w:b/>
                <w:i w:val="0"/>
                <w:sz w:val="18"/>
              </w:rPr>
              <w:t>Статус</w:t>
            </w:r>
          </w:p>
        </w:tc>
        <w:tc>
          <w:tcPr>
            <w:tcW w:type="dxa" w:w="3324"/>
          </w:tcPr>
          <w:p>
            <w:pPr>
              <w:ind w:firstLine="0"/>
            </w:pPr>
            <w:r>
              <w:rPr>
                <w:rFonts w:ascii="Times New Roman" w:hAnsi="Times New Roman"/>
                <w:b/>
                <w:i w:val="0"/>
                <w:sz w:val="18"/>
              </w:rPr>
              <w:t>Основные сведения</w:t>
            </w:r>
          </w:p>
        </w:tc>
        <w:tc>
          <w:tcPr>
            <w:tcW w:type="dxa" w:w="3324"/>
          </w:tcPr>
          <w:p>
            <w:pPr>
              <w:ind w:firstLine="0"/>
            </w:pPr>
            <w:r>
              <w:rPr>
                <w:rFonts w:ascii="Times New Roman" w:hAnsi="Times New Roman"/>
                <w:b/>
                <w:i w:val="0"/>
                <w:sz w:val="18"/>
              </w:rPr>
              <w:t>Особенности</w:t>
            </w:r>
          </w:p>
        </w:tc>
      </w:tr>
      <w:tr>
        <w:tc>
          <w:tcPr>
            <w:tcW w:type="dxa" w:w="3324"/>
            <w:vAlign w:val="top"/>
          </w:tcPr>
          <w:p>
            <w:pPr>
              <w:spacing w:after="20"/>
              <w:ind w:firstLine="0"/>
            </w:pPr>
            <w:r>
              <w:rPr>
                <w:rFonts w:ascii="Times New Roman" w:hAnsi="Times New Roman"/>
                <w:b w:val="0"/>
                <w:i w:val="0"/>
                <w:sz w:val="17"/>
              </w:rPr>
              <w:t>Физическое лицо</w:t>
            </w:r>
          </w:p>
        </w:tc>
        <w:tc>
          <w:tcPr>
            <w:tcW w:type="dxa" w:w="3324"/>
            <w:vAlign w:val="top"/>
          </w:tcPr>
          <w:p>
            <w:pPr>
              <w:spacing w:after="20"/>
              <w:ind w:firstLine="0"/>
            </w:pPr>
            <w:r>
              <w:rPr>
                <w:rFonts w:ascii="Times New Roman" w:hAnsi="Times New Roman"/>
                <w:b w:val="0"/>
                <w:i w:val="0"/>
                <w:sz w:val="17"/>
              </w:rPr>
              <w:t>ФИО, ИНН, банковские реквизиты; иные сведения — если требуются для налогового учета.</w:t>
            </w:r>
          </w:p>
        </w:tc>
        <w:tc>
          <w:tcPr>
            <w:tcW w:type="dxa" w:w="3324"/>
            <w:vAlign w:val="top"/>
          </w:tcPr>
          <w:p>
            <w:pPr>
              <w:spacing w:after="20"/>
              <w:ind w:firstLine="0"/>
            </w:pPr>
            <w:r>
              <w:rPr>
                <w:rFonts w:ascii="Times New Roman" w:hAnsi="Times New Roman"/>
                <w:b w:val="0"/>
                <w:i w:val="0"/>
                <w:sz w:val="17"/>
              </w:rPr>
              <w:t>Налоги и иные обязательные удержания исполняются в соответствии с законодательством.</w:t>
            </w:r>
          </w:p>
        </w:tc>
      </w:tr>
      <w:tr>
        <w:tc>
          <w:tcPr>
            <w:tcW w:type="dxa" w:w="3324"/>
            <w:vAlign w:val="top"/>
          </w:tcPr>
          <w:p>
            <w:pPr>
              <w:spacing w:after="20"/>
              <w:ind w:firstLine="0"/>
            </w:pPr>
            <w:r>
              <w:rPr>
                <w:rFonts w:ascii="Times New Roman" w:hAnsi="Times New Roman"/>
                <w:b w:val="0"/>
                <w:i w:val="0"/>
                <w:sz w:val="17"/>
              </w:rPr>
              <w:t>Плательщик НПД</w:t>
            </w:r>
          </w:p>
        </w:tc>
        <w:tc>
          <w:tcPr>
            <w:tcW w:type="dxa" w:w="3324"/>
            <w:vAlign w:val="top"/>
          </w:tcPr>
          <w:p>
            <w:pPr>
              <w:spacing w:after="20"/>
              <w:ind w:firstLine="0"/>
            </w:pPr>
            <w:r>
              <w:rPr>
                <w:rFonts w:ascii="Times New Roman" w:hAnsi="Times New Roman"/>
                <w:b w:val="0"/>
                <w:i w:val="0"/>
                <w:sz w:val="17"/>
              </w:rPr>
              <w:t>ФИО, ИНН, банковские реквизиты, подтверждение статуса при необходимости.</w:t>
            </w:r>
          </w:p>
        </w:tc>
        <w:tc>
          <w:tcPr>
            <w:tcW w:type="dxa" w:w="3324"/>
            <w:vAlign w:val="top"/>
          </w:tcPr>
          <w:p>
            <w:pPr>
              <w:spacing w:after="20"/>
              <w:ind w:firstLine="0"/>
            </w:pPr>
            <w:r>
              <w:rPr>
                <w:rFonts w:ascii="Times New Roman" w:hAnsi="Times New Roman"/>
                <w:b w:val="0"/>
                <w:i w:val="0"/>
                <w:sz w:val="17"/>
              </w:rPr>
              <w:t>Лицензиар сообщает об утрате статуса и формирует чек в установленном законом порядке.</w:t>
            </w:r>
          </w:p>
        </w:tc>
      </w:tr>
      <w:tr>
        <w:tc>
          <w:tcPr>
            <w:tcW w:type="dxa" w:w="3324"/>
            <w:vAlign w:val="top"/>
          </w:tcPr>
          <w:p>
            <w:pPr>
              <w:spacing w:after="20"/>
              <w:ind w:firstLine="0"/>
            </w:pPr>
            <w:r>
              <w:rPr>
                <w:rFonts w:ascii="Times New Roman" w:hAnsi="Times New Roman"/>
                <w:b w:val="0"/>
                <w:i w:val="0"/>
                <w:sz w:val="17"/>
              </w:rPr>
              <w:t>ИП</w:t>
            </w:r>
          </w:p>
        </w:tc>
        <w:tc>
          <w:tcPr>
            <w:tcW w:type="dxa" w:w="3324"/>
            <w:vAlign w:val="top"/>
          </w:tcPr>
          <w:p>
            <w:pPr>
              <w:spacing w:after="20"/>
              <w:ind w:firstLine="0"/>
            </w:pPr>
            <w:r>
              <w:rPr>
                <w:rFonts w:ascii="Times New Roman" w:hAnsi="Times New Roman"/>
                <w:b w:val="0"/>
                <w:i w:val="0"/>
                <w:sz w:val="17"/>
              </w:rPr>
              <w:t>ФИО, ОГРНИП, ИНН, банковские реквизиты.</w:t>
            </w:r>
          </w:p>
        </w:tc>
        <w:tc>
          <w:tcPr>
            <w:tcW w:type="dxa" w:w="3324"/>
            <w:vAlign w:val="top"/>
          </w:tcPr>
          <w:p>
            <w:pPr>
              <w:spacing w:after="20"/>
              <w:ind w:firstLine="0"/>
            </w:pPr>
            <w:r>
              <w:rPr>
                <w:rFonts w:ascii="Times New Roman" w:hAnsi="Times New Roman"/>
                <w:b w:val="0"/>
                <w:i w:val="0"/>
                <w:sz w:val="17"/>
              </w:rPr>
              <w:t>Дополнительные сведения предоставляются только при наличии правовой/банковской необходимости.</w:t>
            </w:r>
          </w:p>
        </w:tc>
      </w:tr>
      <w:tr>
        <w:tc>
          <w:tcPr>
            <w:tcW w:type="dxa" w:w="3324"/>
            <w:vAlign w:val="top"/>
          </w:tcPr>
          <w:p>
            <w:pPr>
              <w:spacing w:after="20"/>
              <w:ind w:firstLine="0"/>
            </w:pPr>
            <w:r>
              <w:rPr>
                <w:rFonts w:ascii="Times New Roman" w:hAnsi="Times New Roman"/>
                <w:b w:val="0"/>
                <w:i w:val="0"/>
                <w:sz w:val="17"/>
              </w:rPr>
              <w:t>Юридическое лицо</w:t>
            </w:r>
          </w:p>
        </w:tc>
        <w:tc>
          <w:tcPr>
            <w:tcW w:type="dxa" w:w="3324"/>
            <w:vAlign w:val="top"/>
          </w:tcPr>
          <w:p>
            <w:pPr>
              <w:spacing w:after="20"/>
              <w:ind w:firstLine="0"/>
            </w:pPr>
            <w:r>
              <w:rPr>
                <w:rFonts w:ascii="Times New Roman" w:hAnsi="Times New Roman"/>
                <w:b w:val="0"/>
                <w:i w:val="0"/>
                <w:sz w:val="17"/>
              </w:rPr>
              <w:t>Наименование, ОГРН, ИНН/КПП, банковские реквизиты, сведения о подписанте при необходимости.</w:t>
            </w:r>
          </w:p>
        </w:tc>
        <w:tc>
          <w:tcPr>
            <w:tcW w:type="dxa" w:w="3324"/>
            <w:vAlign w:val="top"/>
          </w:tcPr>
          <w:p>
            <w:pPr>
              <w:spacing w:after="20"/>
              <w:ind w:firstLine="0"/>
            </w:pPr>
            <w:r>
              <w:rPr>
                <w:rFonts w:ascii="Times New Roman" w:hAnsi="Times New Roman"/>
                <w:b w:val="0"/>
                <w:i w:val="0"/>
                <w:sz w:val="17"/>
              </w:rPr>
              <w:t>Счет, акт и иные документы используются, если они требуются законом или согласованным документооборотом.</w:t>
            </w:r>
          </w:p>
        </w:tc>
      </w:tr>
      <w:tr>
        <w:tc>
          <w:tcPr>
            <w:tcW w:type="dxa" w:w="3324"/>
            <w:vAlign w:val="top"/>
          </w:tcPr>
          <w:p>
            <w:pPr>
              <w:spacing w:after="20"/>
              <w:ind w:firstLine="0"/>
            </w:pPr>
            <w:r>
              <w:rPr>
                <w:rFonts w:ascii="Times New Roman" w:hAnsi="Times New Roman"/>
                <w:b w:val="0"/>
                <w:i w:val="0"/>
                <w:sz w:val="17"/>
              </w:rPr>
              <w:t>Нерезидент</w:t>
            </w:r>
          </w:p>
        </w:tc>
        <w:tc>
          <w:tcPr>
            <w:tcW w:type="dxa" w:w="3324"/>
            <w:vAlign w:val="top"/>
          </w:tcPr>
          <w:p>
            <w:pPr>
              <w:spacing w:after="20"/>
              <w:ind w:firstLine="0"/>
            </w:pPr>
            <w:r>
              <w:rPr>
                <w:rFonts w:ascii="Times New Roman" w:hAnsi="Times New Roman"/>
                <w:b w:val="0"/>
                <w:i w:val="0"/>
                <w:sz w:val="17"/>
              </w:rPr>
              <w:t>Идентификационные, налоговые, валютные и банковские сведения.</w:t>
            </w:r>
          </w:p>
        </w:tc>
        <w:tc>
          <w:tcPr>
            <w:tcW w:type="dxa" w:w="3324"/>
            <w:vAlign w:val="top"/>
          </w:tcPr>
          <w:p>
            <w:pPr>
              <w:spacing w:after="20"/>
              <w:ind w:firstLine="0"/>
            </w:pPr>
            <w:r>
              <w:rPr>
                <w:rFonts w:ascii="Times New Roman" w:hAnsi="Times New Roman"/>
                <w:b w:val="0"/>
                <w:i w:val="0"/>
                <w:sz w:val="17"/>
              </w:rPr>
              <w:t>Срок учитывает обязательные банковские и валютные проверки.</w:t>
            </w:r>
          </w:p>
        </w:tc>
      </w:tr>
    </w:tbl>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