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rPr>
          <w:rFonts w:ascii="Times New Roman" w:hAnsi="Times New Roman"/>
          <w:b/>
          <w:i w:val="0"/>
          <w:sz w:val="21"/>
        </w:rPr>
        <w:t xml:space="preserve">1.12. </w:t>
      </w:r>
      <w:r>
        <w:rPr>
          <w:rFonts w:ascii="Times New Roman" w:hAnsi="Times New Roman"/>
          <w:b w:val="0"/>
          <w:i w:val="0"/>
          <w:sz w:val="21"/>
        </w:rPr>
        <w:t>Карточка релиза — электронная запись в ЛКПО, содержащая файлы, Метаданные, идентификаторы, сведения о долях прав, применяемом тарифе и иные сведения о конкретном Релизе.</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rPr>
          <w:rFonts w:ascii="Times New Roman" w:hAnsi="Times New Roman"/>
          <w:b/>
          <w:i w:val="0"/>
          <w:sz w:val="21"/>
        </w:rPr>
        <w:t xml:space="preserve">2.7. </w:t>
      </w:r>
      <w:r>
        <w:rPr>
          <w:rFonts w:ascii="Times New Roman" w:hAnsi="Times New Roman"/>
          <w:b w:val="0"/>
          <w:i w:val="0"/>
          <w:sz w:val="21"/>
        </w:rPr>
        <w:t>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pPr>
      <w:r>
        <w:t>6.17.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Отчёта.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rPr>
          <w:rFonts w:ascii="Times New Roman" w:hAnsi="Times New Roman"/>
          <w:b/>
          <w:i w:val="0"/>
          <w:sz w:val="21"/>
        </w:rPr>
        <w:t xml:space="preserve">12.1. </w:t>
      </w:r>
      <w:r>
        <w:rPr>
          <w:rFonts w:ascii="Times New Roman" w:hAnsi="Times New Roman"/>
          <w:b w:val="0"/>
          <w:i w:val="0"/>
          <w:sz w:val="21"/>
        </w:rPr>
        <w:t>Настоящий Договор, Карточки релизов,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val="0"/>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1. ЭЛЕКТРОННАЯ КАРТОЧКА РЕЛИЗА</w:t>
      </w:r>
    </w:p>
    <w:p>
      <w:pPr>
        <w:pStyle w:val="Small"/>
        <w:ind w:firstLine="0"/>
        <w:jc w:val="both"/>
        <w:widowControl/>
      </w:pPr>
      <w:r>
        <w:rPr>
          <w:rFonts w:ascii="Times New Roman" w:hAnsi="Times New Roman"/>
          <w:b w:val="0"/>
          <w:i w:val="0"/>
          <w:sz w:val="19"/>
        </w:rPr>
        <w:t>Электронная Карточка релиза является способом индивидуализации конкретных Объектов, передаваемых по Договору. В ЛКПО могут использоваться дополнительные поля, необходимые Агрегаторам и Сервисам.</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19"/>
              </w:rPr>
              <w:t>Поле</w:t>
            </w:r>
          </w:p>
        </w:tc>
        <w:tc>
          <w:tcPr>
            <w:tcW w:type="dxa" w:w="4986"/>
          </w:tcPr>
          <w:p>
            <w:pPr>
              <w:ind w:firstLine="0"/>
            </w:pPr>
            <w:r>
              <w:rPr>
                <w:rFonts w:ascii="Times New Roman" w:hAnsi="Times New Roman"/>
                <w:b/>
                <w:i w:val="0"/>
                <w:sz w:val="19"/>
              </w:rPr>
              <w:t>Значение</w:t>
            </w:r>
          </w:p>
        </w:tc>
      </w:tr>
      <w:tr>
        <w:tc>
          <w:tcPr>
            <w:tcW w:type="dxa" w:w="4986"/>
            <w:vAlign w:val="top"/>
          </w:tcPr>
          <w:p>
            <w:pPr>
              <w:spacing w:after="20"/>
              <w:ind w:firstLine="0"/>
            </w:pPr>
            <w:r>
              <w:rPr>
                <w:rFonts w:ascii="Times New Roman" w:hAnsi="Times New Roman"/>
                <w:b w:val="0"/>
                <w:i w:val="0"/>
                <w:sz w:val="18"/>
              </w:rPr>
              <w:t>Внутренний ID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Название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Исполнитель / псевдоним</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Тип Релиза</w:t>
            </w:r>
          </w:p>
        </w:tc>
        <w:tc>
          <w:tcPr>
            <w:tcW w:type="dxa" w:w="4986"/>
            <w:vAlign w:val="top"/>
          </w:tcPr>
          <w:p>
            <w:pPr>
              <w:spacing w:after="20"/>
              <w:ind w:firstLine="0"/>
            </w:pPr>
            <w:r>
              <w:rPr>
                <w:rFonts w:ascii="Times New Roman" w:hAnsi="Times New Roman"/>
                <w:b w:val="0"/>
                <w:i w:val="0"/>
                <w:sz w:val="18"/>
              </w:rPr>
              <w:t>сингл / EP / альбом / видео / иное</w:t>
            </w:r>
          </w:p>
        </w:tc>
      </w:tr>
      <w:tr>
        <w:tc>
          <w:tcPr>
            <w:tcW w:type="dxa" w:w="4986"/>
            <w:vAlign w:val="top"/>
          </w:tcPr>
          <w:p>
            <w:pPr>
              <w:spacing w:after="20"/>
              <w:ind w:firstLine="0"/>
            </w:pPr>
            <w:r>
              <w:rPr>
                <w:rFonts w:ascii="Times New Roman" w:hAnsi="Times New Roman"/>
                <w:b w:val="0"/>
                <w:i w:val="0"/>
                <w:sz w:val="18"/>
              </w:rPr>
              <w:t>Дата планируемого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UPC/EAN</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ISRC и перечень треков</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музыки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текста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Изготовитель фонограммы</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Доля прав Лицензиара</w:t>
            </w:r>
          </w:p>
        </w:tc>
        <w:tc>
          <w:tcPr>
            <w:tcW w:type="dxa" w:w="4986"/>
            <w:vAlign w:val="top"/>
          </w:tcPr>
          <w:p>
            <w:pPr>
              <w:spacing w:after="20"/>
              <w:ind w:firstLine="0"/>
            </w:pPr>
            <w:r>
              <w:rPr>
                <w:rFonts w:ascii="Times New Roman" w:hAnsi="Times New Roman"/>
                <w:b w:val="0"/>
                <w:i w:val="0"/>
                <w:sz w:val="18"/>
              </w:rPr>
              <w:t>________ %</w:t>
            </w:r>
          </w:p>
        </w:tc>
      </w:tr>
      <w:tr>
        <w:tc>
          <w:tcPr>
            <w:tcW w:type="dxa" w:w="4986"/>
            <w:vAlign w:val="top"/>
          </w:tcPr>
          <w:p>
            <w:pPr>
              <w:spacing w:after="20"/>
              <w:ind w:firstLine="0"/>
            </w:pPr>
            <w:r>
              <w:rPr>
                <w:rFonts w:ascii="Times New Roman" w:hAnsi="Times New Roman"/>
                <w:b w:val="0"/>
                <w:i w:val="0"/>
                <w:sz w:val="18"/>
              </w:rPr>
              <w:t>Тариф / ставка Лицензиара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Территория</w:t>
            </w:r>
          </w:p>
        </w:tc>
        <w:tc>
          <w:tcPr>
            <w:tcW w:type="dxa" w:w="4986"/>
            <w:vAlign w:val="top"/>
          </w:tcPr>
          <w:p>
            <w:pPr>
              <w:spacing w:after="20"/>
              <w:ind w:firstLine="0"/>
            </w:pPr>
            <w:r>
              <w:rPr>
                <w:rFonts w:ascii="Times New Roman" w:hAnsi="Times New Roman"/>
                <w:b w:val="0"/>
                <w:i w:val="0"/>
                <w:sz w:val="18"/>
              </w:rPr>
              <w:t>весь мир / иное: ________________</w:t>
            </w:r>
          </w:p>
        </w:tc>
      </w:tr>
      <w:tr>
        <w:tc>
          <w:tcPr>
            <w:tcW w:type="dxa" w:w="4986"/>
            <w:vAlign w:val="top"/>
          </w:tcPr>
          <w:p>
            <w:pPr>
              <w:spacing w:after="20"/>
              <w:ind w:firstLine="0"/>
            </w:pPr>
            <w:r>
              <w:rPr>
                <w:rFonts w:ascii="Times New Roman" w:hAnsi="Times New Roman"/>
                <w:b w:val="0"/>
                <w:i w:val="0"/>
                <w:sz w:val="18"/>
              </w:rPr>
              <w:t>Explicit / возрастная маркировка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Кавер / сэмплы / ремикс / иные особенности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Иные ограничения/условия</w:t>
            </w:r>
          </w:p>
        </w:tc>
        <w:tc>
          <w:tcPr>
            <w:tcW w:type="dxa" w:w="4986"/>
            <w:vAlign w:val="top"/>
          </w:tcPr>
          <w:p>
            <w:pPr>
              <w:spacing w:after="20"/>
              <w:ind w:firstLine="0"/>
            </w:pPr>
            <w:r>
              <w:rPr>
                <w:rFonts w:ascii="Times New Roman" w:hAnsi="Times New Roman"/>
                <w:b w:val="0"/>
                <w:i w:val="0"/>
                <w:sz w:val="18"/>
              </w:rPr>
              <w:t>____________________________</w:t>
            </w:r>
          </w:p>
        </w:tc>
      </w:tr>
    </w:tbl>
    <w:p>
      <w:pPr>
        <w:pStyle w:val="Small"/>
        <w:ind w:firstLine="0"/>
        <w:jc w:val="both"/>
        <w:widowControl/>
      </w:pPr>
      <w:r>
        <w:rPr>
          <w:rFonts w:ascii="Times New Roman" w:hAnsi="Times New Roman"/>
          <w:b w:val="0"/>
          <w:i w:val="0"/>
          <w:sz w:val="19"/>
        </w:rPr>
        <w:t>Подтверждение Карточки релиза в ЛКПО означает подтверждение Лицензиаром достоверности внесенных сведений, наличия прав в указанной доле и передачу соответствующего Релиза на условиях Договора.</w:t>
      </w:r>
    </w:p>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p>
      <w:pPr>
        <w:pStyle w:val="Small"/>
        <w:ind w:firstLine="0"/>
        <w:jc w:val="both"/>
        <w:widowControl/>
      </w:pPr>
      <w:r>
        <w:rPr>
          <w:rFonts w:ascii="Times New Roman" w:hAnsi="Times New Roman"/>
          <w:b/>
          <w:i w:val="0"/>
          <w:sz w:val="19"/>
        </w:rPr>
        <w:t>Ориентировочный документооборот: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ind w:firstLine="0"/>
            </w:pPr>
            <w:r>
              <w:rPr>
                <w:rFonts w:ascii="Times New Roman" w:hAnsi="Times New Roman"/>
                <w:b/>
                <w:i w:val="0"/>
                <w:sz w:val="18"/>
              </w:rPr>
              <w:t>Статус</w:t>
            </w:r>
          </w:p>
        </w:tc>
        <w:tc>
          <w:tcPr>
            <w:tcW w:type="dxa" w:w="3324"/>
          </w:tcPr>
          <w:p>
            <w:pPr>
              <w:ind w:firstLine="0"/>
            </w:pPr>
            <w:r>
              <w:rPr>
                <w:rFonts w:ascii="Times New Roman" w:hAnsi="Times New Roman"/>
                <w:b/>
                <w:i w:val="0"/>
                <w:sz w:val="18"/>
              </w:rPr>
              <w:t>Основные сведения</w:t>
            </w:r>
          </w:p>
        </w:tc>
        <w:tc>
          <w:tcPr>
            <w:tcW w:type="dxa" w:w="3324"/>
          </w:tcPr>
          <w:p>
            <w:pPr>
              <w:ind w:firstLine="0"/>
            </w:pPr>
            <w:r>
              <w:rPr>
                <w:rFonts w:ascii="Times New Roman" w:hAnsi="Times New Roman"/>
                <w:b/>
                <w:i w:val="0"/>
                <w:sz w:val="18"/>
              </w:rPr>
              <w:t>Особенности</w:t>
            </w:r>
          </w:p>
        </w:tc>
      </w:tr>
      <w:tr>
        <w:tc>
          <w:tcPr>
            <w:tcW w:type="dxa" w:w="3324"/>
            <w:vAlign w:val="top"/>
          </w:tcPr>
          <w:p>
            <w:pPr>
              <w:spacing w:after="20"/>
              <w:ind w:firstLine="0"/>
            </w:pPr>
            <w:r>
              <w:rPr>
                <w:rFonts w:ascii="Times New Roman" w:hAnsi="Times New Roman"/>
                <w:b w:val="0"/>
                <w:i w:val="0"/>
                <w:sz w:val="17"/>
              </w:rPr>
              <w:t>Физическое лицо</w:t>
            </w:r>
          </w:p>
        </w:tc>
        <w:tc>
          <w:tcPr>
            <w:tcW w:type="dxa" w:w="3324"/>
            <w:vAlign w:val="top"/>
          </w:tcPr>
          <w:p>
            <w:pPr>
              <w:spacing w:after="20"/>
              <w:ind w:firstLine="0"/>
            </w:pPr>
            <w:r>
              <w:rPr>
                <w:rFonts w:ascii="Times New Roman" w:hAnsi="Times New Roman"/>
                <w:b w:val="0"/>
                <w:i w:val="0"/>
                <w:sz w:val="17"/>
              </w:rPr>
              <w:t>ФИО, ИНН, банковские реквизиты; иные сведения — если требуются для налогового учета.</w:t>
            </w:r>
          </w:p>
        </w:tc>
        <w:tc>
          <w:tcPr>
            <w:tcW w:type="dxa" w:w="3324"/>
            <w:vAlign w:val="top"/>
          </w:tcPr>
          <w:p>
            <w:pPr>
              <w:spacing w:after="20"/>
              <w:ind w:firstLine="0"/>
            </w:pPr>
            <w:r>
              <w:rPr>
                <w:rFonts w:ascii="Times New Roman" w:hAnsi="Times New Roman"/>
                <w:b w:val="0"/>
                <w:i w:val="0"/>
                <w:sz w:val="17"/>
              </w:rPr>
              <w:t>Налоги и иные обязательные удержания исполняются в соответствии с законодательством.</w:t>
            </w:r>
          </w:p>
        </w:tc>
      </w:tr>
      <w:tr>
        <w:tc>
          <w:tcPr>
            <w:tcW w:type="dxa" w:w="3324"/>
            <w:vAlign w:val="top"/>
          </w:tcPr>
          <w:p>
            <w:pPr>
              <w:spacing w:after="20"/>
              <w:ind w:firstLine="0"/>
            </w:pPr>
            <w:r>
              <w:rPr>
                <w:rFonts w:ascii="Times New Roman" w:hAnsi="Times New Roman"/>
                <w:b w:val="0"/>
                <w:i w:val="0"/>
                <w:sz w:val="17"/>
              </w:rPr>
              <w:t>Плательщик НПД</w:t>
            </w:r>
          </w:p>
        </w:tc>
        <w:tc>
          <w:tcPr>
            <w:tcW w:type="dxa" w:w="3324"/>
            <w:vAlign w:val="top"/>
          </w:tcPr>
          <w:p>
            <w:pPr>
              <w:spacing w:after="20"/>
              <w:ind w:firstLine="0"/>
            </w:pPr>
            <w:r>
              <w:rPr>
                <w:rFonts w:ascii="Times New Roman" w:hAnsi="Times New Roman"/>
                <w:b w:val="0"/>
                <w:i w:val="0"/>
                <w:sz w:val="17"/>
              </w:rPr>
              <w:t>ФИО, ИНН, банковские реквизиты, подтверждение статуса при необходимости.</w:t>
            </w:r>
          </w:p>
        </w:tc>
        <w:tc>
          <w:tcPr>
            <w:tcW w:type="dxa" w:w="3324"/>
            <w:vAlign w:val="top"/>
          </w:tcPr>
          <w:p>
            <w:pPr>
              <w:spacing w:after="20"/>
              <w:ind w:firstLine="0"/>
            </w:pPr>
            <w:r>
              <w:rPr>
                <w:rFonts w:ascii="Times New Roman" w:hAnsi="Times New Roman"/>
                <w:b w:val="0"/>
                <w:i w:val="0"/>
                <w:sz w:val="17"/>
              </w:rPr>
              <w:t>Лицензиар сообщает об утрате статуса и формирует чек в установленном законом порядке.</w:t>
            </w:r>
          </w:p>
        </w:tc>
      </w:tr>
      <w:tr>
        <w:tc>
          <w:tcPr>
            <w:tcW w:type="dxa" w:w="3324"/>
            <w:vAlign w:val="top"/>
          </w:tcPr>
          <w:p>
            <w:pPr>
              <w:spacing w:after="20"/>
              <w:ind w:firstLine="0"/>
            </w:pPr>
            <w:r>
              <w:rPr>
                <w:rFonts w:ascii="Times New Roman" w:hAnsi="Times New Roman"/>
                <w:b w:val="0"/>
                <w:i w:val="0"/>
                <w:sz w:val="17"/>
              </w:rPr>
              <w:t>ИП</w:t>
            </w:r>
          </w:p>
        </w:tc>
        <w:tc>
          <w:tcPr>
            <w:tcW w:type="dxa" w:w="3324"/>
            <w:vAlign w:val="top"/>
          </w:tcPr>
          <w:p>
            <w:pPr>
              <w:spacing w:after="20"/>
              <w:ind w:firstLine="0"/>
            </w:pPr>
            <w:r>
              <w:rPr>
                <w:rFonts w:ascii="Times New Roman" w:hAnsi="Times New Roman"/>
                <w:b w:val="0"/>
                <w:i w:val="0"/>
                <w:sz w:val="17"/>
              </w:rPr>
              <w:t>ФИО, ОГРНИП, ИНН, банковские реквизиты.</w:t>
            </w:r>
          </w:p>
        </w:tc>
        <w:tc>
          <w:tcPr>
            <w:tcW w:type="dxa" w:w="3324"/>
            <w:vAlign w:val="top"/>
          </w:tcPr>
          <w:p>
            <w:pPr>
              <w:spacing w:after="20"/>
              <w:ind w:firstLine="0"/>
            </w:pPr>
            <w:r>
              <w:rPr>
                <w:rFonts w:ascii="Times New Roman" w:hAnsi="Times New Roman"/>
                <w:b w:val="0"/>
                <w:i w:val="0"/>
                <w:sz w:val="17"/>
              </w:rPr>
              <w:t>Дополнительные сведения предоставляются только при наличии правовой/банковской необходимости.</w:t>
            </w:r>
          </w:p>
        </w:tc>
      </w:tr>
      <w:tr>
        <w:tc>
          <w:tcPr>
            <w:tcW w:type="dxa" w:w="3324"/>
            <w:vAlign w:val="top"/>
          </w:tcPr>
          <w:p>
            <w:pPr>
              <w:spacing w:after="20"/>
              <w:ind w:firstLine="0"/>
            </w:pPr>
            <w:r>
              <w:rPr>
                <w:rFonts w:ascii="Times New Roman" w:hAnsi="Times New Roman"/>
                <w:b w:val="0"/>
                <w:i w:val="0"/>
                <w:sz w:val="17"/>
              </w:rPr>
              <w:t>Юридическое лицо</w:t>
            </w:r>
          </w:p>
        </w:tc>
        <w:tc>
          <w:tcPr>
            <w:tcW w:type="dxa" w:w="3324"/>
            <w:vAlign w:val="top"/>
          </w:tcPr>
          <w:p>
            <w:pPr>
              <w:spacing w:after="20"/>
              <w:ind w:firstLine="0"/>
            </w:pPr>
            <w:r>
              <w:rPr>
                <w:rFonts w:ascii="Times New Roman" w:hAnsi="Times New Roman"/>
                <w:b w:val="0"/>
                <w:i w:val="0"/>
                <w:sz w:val="17"/>
              </w:rPr>
              <w:t>Наименование, ОГРН, ИНН/КПП, банковские реквизиты, сведения о подписанте при необходимости.</w:t>
            </w:r>
          </w:p>
        </w:tc>
        <w:tc>
          <w:tcPr>
            <w:tcW w:type="dxa" w:w="3324"/>
            <w:vAlign w:val="top"/>
          </w:tcPr>
          <w:p>
            <w:pPr>
              <w:spacing w:after="20"/>
              <w:ind w:firstLine="0"/>
            </w:pPr>
            <w:r>
              <w:rPr>
                <w:rFonts w:ascii="Times New Roman" w:hAnsi="Times New Roman"/>
                <w:b w:val="0"/>
                <w:i w:val="0"/>
                <w:sz w:val="17"/>
              </w:rPr>
              <w:t>Счет, акт и иные документы используются, если они требуются законом или согласованным документооборотом.</w:t>
            </w:r>
          </w:p>
        </w:tc>
      </w:tr>
      <w:tr>
        <w:tc>
          <w:tcPr>
            <w:tcW w:type="dxa" w:w="3324"/>
            <w:vAlign w:val="top"/>
          </w:tcPr>
          <w:p>
            <w:pPr>
              <w:spacing w:after="20"/>
              <w:ind w:firstLine="0"/>
            </w:pPr>
            <w:r>
              <w:rPr>
                <w:rFonts w:ascii="Times New Roman" w:hAnsi="Times New Roman"/>
                <w:b w:val="0"/>
                <w:i w:val="0"/>
                <w:sz w:val="17"/>
              </w:rPr>
              <w:t>Нерезидент</w:t>
            </w:r>
          </w:p>
        </w:tc>
        <w:tc>
          <w:tcPr>
            <w:tcW w:type="dxa" w:w="3324"/>
            <w:vAlign w:val="top"/>
          </w:tcPr>
          <w:p>
            <w:pPr>
              <w:spacing w:after="20"/>
              <w:ind w:firstLine="0"/>
            </w:pPr>
            <w:r>
              <w:rPr>
                <w:rFonts w:ascii="Times New Roman" w:hAnsi="Times New Roman"/>
                <w:b w:val="0"/>
                <w:i w:val="0"/>
                <w:sz w:val="17"/>
              </w:rPr>
              <w:t>Идентификационные, налоговые, валютные и банковские сведения.</w:t>
            </w:r>
          </w:p>
        </w:tc>
        <w:tc>
          <w:tcPr>
            <w:tcW w:type="dxa" w:w="3324"/>
            <w:vAlign w:val="top"/>
          </w:tcPr>
          <w:p>
            <w:pPr>
              <w:spacing w:after="20"/>
              <w:ind w:firstLine="0"/>
            </w:pPr>
            <w:r>
              <w:rPr>
                <w:rFonts w:ascii="Times New Roman" w:hAnsi="Times New Roman"/>
                <w:b w:val="0"/>
                <w:i w:val="0"/>
                <w:sz w:val="17"/>
              </w:rPr>
              <w:t>Срок учитывает обязательные банковские и валютные проверки.</w:t>
            </w:r>
          </w:p>
        </w:tc>
      </w:tr>
    </w:tbl>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