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72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620"/>
        <w:tblGridChange w:id="0">
          <w:tblGrid>
            <w:gridCol w:w="1380"/>
            <w:gridCol w:w="7620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24" w:val="single"/>
              <w:right w:color="000000" w:space="0" w:sz="8" w:val="single"/>
            </w:tcBorders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ind w:right="38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Dinâmica de jogo</w:t>
            </w:r>
          </w:p>
        </w:tc>
      </w:tr>
      <w:t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3.6" w:lineRule="auto"/>
              <w:rPr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85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430"/>
              <w:gridCol w:w="6420"/>
              <w:tblGridChange w:id="0">
                <w:tblGrid>
                  <w:gridCol w:w="2430"/>
                  <w:gridCol w:w="6420"/>
                </w:tblGrid>
              </w:tblGridChange>
            </w:tblGrid>
            <w:t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05">
                  <w:pPr>
                    <w:widowControl w:val="0"/>
                    <w:spacing w:line="240" w:lineRule="auto"/>
                    <w:jc w:val="righ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Código:</w:t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06">
                  <w:pPr>
                    <w:widowControl w:val="0"/>
                    <w:spacing w:line="240" w:lineRule="auto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DE1</w:t>
                  </w:r>
                </w:p>
              </w:tc>
            </w:tr>
            <w:t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07">
                  <w:pPr>
                    <w:widowControl w:val="0"/>
                    <w:spacing w:line="240" w:lineRule="auto"/>
                    <w:jc w:val="righ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Cód. do contexto</w:t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08">
                  <w:pPr>
                    <w:widowControl w:val="0"/>
                    <w:spacing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CTX01</w:t>
                  </w:r>
                </w:p>
              </w:tc>
            </w:tr>
            <w:t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09">
                  <w:pPr>
                    <w:widowControl w:val="0"/>
                    <w:spacing w:line="240" w:lineRule="auto"/>
                    <w:jc w:val="righ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Cód. do cptm-alvo:</w:t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widowControl w:val="0"/>
                    <w:spacing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CA01</w:t>
                  </w:r>
                </w:p>
              </w:tc>
            </w:tr>
            <w:t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widowControl w:val="0"/>
                    <w:spacing w:line="240" w:lineRule="auto"/>
                    <w:jc w:val="right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Cód. perfil de jogador</w:t>
                  </w:r>
                  <w:r w:rsidDel="00000000" w:rsidR="00000000" w:rsidRPr="00000000">
                    <w:rPr>
                      <w:b w:val="1"/>
                      <w:sz w:val="20"/>
                      <w:szCs w:val="20"/>
                      <w:vertAlign w:val="superscript"/>
                    </w:rPr>
                    <w:footnoteReference w:customMarkFollows="0" w:id="0"/>
                  </w: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widowControl w:val="0"/>
                    <w:spacing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D">
            <w:pPr>
              <w:spacing w:line="276" w:lineRule="auto"/>
              <w:ind w:right="120"/>
              <w:jc w:val="left"/>
              <w:rPr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76" w:lineRule="auto"/>
              <w:ind w:right="12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76" w:lineRule="auto"/>
              <w:ind w:right="12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76" w:lineRule="auto"/>
              <w:ind w:right="12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76" w:lineRule="auto"/>
              <w:ind w:left="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figura abaixo ilustra a dinâmica de jogo DEF01 proposta para evitar a frustração.</w:t>
            </w:r>
          </w:p>
          <w:p w:rsidR="00000000" w:rsidDel="00000000" w:rsidP="00000000" w:rsidRDefault="00000000" w:rsidRPr="00000000" w14:paraId="00000016">
            <w:pPr>
              <w:spacing w:line="276" w:lineRule="auto"/>
              <w:ind w:left="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76" w:lineRule="auto"/>
              <w:ind w:left="0" w:firstLine="0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Storyteller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(mascote da escola -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Pioneko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)que gera emoções de valência positiva na forma de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feedback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quando são efetuadas as ações do comportamento-alvo 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escrever as coordenadas da figura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". Assim, por exemplo, quando o estudante falhar no exercício, emoção de esperança pode ser gerada pelo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storyteller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mediante uma mensagem como apresentada na figura abaixo que é emitido por uma caricatura de tutor que indica que o exercício foi quase resolvido pelo participante. </w:t>
            </w:r>
          </w:p>
          <w:p w:rsidR="00000000" w:rsidDel="00000000" w:rsidP="00000000" w:rsidRDefault="00000000" w:rsidRPr="00000000" w14:paraId="0000001A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267075" cy="253365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533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76201</wp:posOffset>
                  </wp:positionH>
                  <wp:positionV relativeFrom="paragraph">
                    <wp:posOffset>133350</wp:posOffset>
                  </wp:positionV>
                  <wp:extent cx="890588" cy="1251864"/>
                  <wp:effectExtent b="0" l="0" r="0" t="0"/>
                  <wp:wrapSquare wrapText="bothSides" distB="114300" distT="114300" distL="114300" distR="11430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88" cy="12518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E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”Observe o eixo x (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reta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deitada) e depois o eixo vertical Y”</w:t>
            </w:r>
          </w:p>
          <w:p w:rsidR="00000000" w:rsidDel="00000000" w:rsidP="00000000" w:rsidRDefault="00000000" w:rsidRPr="00000000" w14:paraId="00000020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“Você não marcou pontos, com certeza o próximo jogo vai melhorar!”</w:t>
            </w:r>
          </w:p>
          <w:p w:rsidR="00000000" w:rsidDel="00000000" w:rsidP="00000000" w:rsidRDefault="00000000" w:rsidRPr="00000000" w14:paraId="00000022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76" w:lineRule="auto"/>
              <w:ind w:right="12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Meta: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meta no exercício é: escrever as coordenadas do objeto.</w:t>
            </w:r>
          </w:p>
          <w:p w:rsidR="00000000" w:rsidDel="00000000" w:rsidP="00000000" w:rsidRDefault="00000000" w:rsidRPr="00000000" w14:paraId="00000027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storyteller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irá sempre emitir mensagens relacionados em como alcançar as metas de forma clara e precisa, assim por exemplo a mensagem  "Dica:Observe o eixo x (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reta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deitada) e depois o eixo vertical Y”</w:t>
            </w:r>
          </w:p>
          <w:p w:rsidR="00000000" w:rsidDel="00000000" w:rsidP="00000000" w:rsidRDefault="00000000" w:rsidRPr="00000000" w14:paraId="00000029">
            <w:pPr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 exemplo mostrado acima faz com que o estudante enfoque sua atenção nas ações necessárias para completar a tarefa.</w:t>
            </w:r>
          </w:p>
          <w:p w:rsidR="00000000" w:rsidDel="00000000" w:rsidP="00000000" w:rsidRDefault="00000000" w:rsidRPr="00000000" w14:paraId="0000002A">
            <w:pPr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storyteller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irá sempre emitir mensagens para dar senso de que se pode alcançar as metas, como por exemplo a mensagem 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tente novamente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", “não desista”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76" w:lineRule="auto"/>
              <w:ind w:right="12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Feedback: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o estudante falhar, receberá mensagem de apoio do Pioneko(storyteller).</w:t>
            </w:r>
          </w:p>
          <w:p w:rsidR="00000000" w:rsidDel="00000000" w:rsidP="00000000" w:rsidRDefault="00000000" w:rsidRPr="00000000" w14:paraId="0000002E">
            <w:pPr>
              <w:spacing w:line="276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10" w:type="default"/>
      <w:footerReference r:id="rId11" w:type="default"/>
      <w:pgSz w:h="16838" w:w="11906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spacing w:line="276" w:lineRule="auto"/>
      <w:ind w:left="-1695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720013" cy="918824"/>
          <wp:effectExtent b="0" l="0" r="0" t="0"/>
          <wp:docPr id="1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20013" cy="91882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0">
      <w:pPr>
        <w:spacing w:line="240" w:lineRule="auto"/>
        <w:rPr>
          <w:sz w:val="16"/>
          <w:szCs w:val="16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16"/>
          <w:szCs w:val="16"/>
          <w:rtl w:val="0"/>
        </w:rPr>
        <w:t xml:space="preserve"> Opcional. Somente necessário quando estiver descrevendo uma dinâmica alinhada com um perfil de jogador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-771521</wp:posOffset>
          </wp:positionH>
          <wp:positionV relativeFrom="paragraph">
            <wp:posOffset>114300</wp:posOffset>
          </wp:positionV>
          <wp:extent cx="771525" cy="771525"/>
          <wp:effectExtent b="0" l="0" r="0" t="0"/>
          <wp:wrapSquare wrapText="bothSides" distB="114300" distT="114300" distL="114300" distR="114300"/>
          <wp:docPr id="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525" cy="7715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1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H1akX1a4qKivXv/ND7QdgjVeGQ==">AMUW2mWYWZ3k5ZWu+kkS1HaqPBqeIeXiSZkVm/OnJrI+8acuzzEGPvpva4pHHWJv6DuLFW9p7XKRbOWqGzvZj6b45CBQhCC9S4rQ7uJ5emmOBntJt0BWoJk=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