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verall-pipeline-overview"/>
    <w:p>
      <w:pPr>
        <w:pStyle w:val="Heading1"/>
      </w:pPr>
      <w:r>
        <w:t xml:space="preserve">Overall Pipeline Overview</w:t>
      </w:r>
    </w:p>
    <w:tbl>
      <w:tblPr>
        <w:tblStyle w:val="Table"/>
        <w:tblW w:type="pct" w:w="4940"/>
        <w:tblLayout w:type="fixed"/>
        <w:tblLook w:firstRow="1" w:lastRow="0" w:firstColumn="0" w:lastColumn="0" w:noHBand="0" w:noVBand="0" w:val="0020"/>
      </w:tblPr>
      <w:tblGrid>
        <w:gridCol w:w="948"/>
        <w:gridCol w:w="1754"/>
        <w:gridCol w:w="51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01_extract_networks*.py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TIGER tract boundaries + OSM pedestrian network → GraphML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02_compute_uoi_spec.py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the six UOI metrics per 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viz_top1000.py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Percentile-based composite score; selection of the top-1000 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04/05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04_sampler.py</w:t>
            </w:r>
            <w:r>
              <w:t xml:space="preserve">, </w:t>
            </w:r>
            <w:r>
              <w:rPr>
                <w:rStyle w:val="VerbatimChar"/>
              </w:rPr>
              <w:t xml:space="preserve">05_mcmc_spec.py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RJ-MCMC counterfactual network search → distance-to-frontier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06_synthesize.py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Benchmark-based synthesis of hypothetical networks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07_gnn_surrogate.py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GNN surrogate extends dtf prediction to ~84k tracts nationwide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08b</w:t>
            </w:r>
            <w:r>
              <w:t xml:space="preserve">–</w:t>
            </w:r>
            <w:r>
              <w:rPr>
                <w:rStyle w:val="VerbatimChar"/>
              </w:rPr>
              <w:t xml:space="preserve">08e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 and regression analysis against socioeconomic indicators (ACS, Opportunity Atlas, FARS, etc.)</w:t>
            </w:r>
          </w:p>
        </w:tc>
      </w:tr>
    </w:tbl>
    <w:bookmarkEnd w:id="20"/>
    <w:bookmarkStart w:id="24" w:name="X9a6defc8b1e481f2168b35bf9f3500b60f1ecf4"/>
    <w:p>
      <w:pPr>
        <w:pStyle w:val="Heading1"/>
      </w:pPr>
      <w:r>
        <w:t xml:space="preserve">1. Data Extraction and Pre-processing (Stage 1)</w:t>
      </w:r>
    </w:p>
    <w:bookmarkStart w:id="21" w:name="data-sources"/>
    <w:p>
      <w:pPr>
        <w:pStyle w:val="Heading2"/>
      </w:pPr>
      <w:r>
        <w:t xml:space="preserve">1.1 Data Sources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Census TIGER/Line (2024 vintage)</w:t>
      </w:r>
      <w:r>
        <w:t xml:space="preserve"> — census-tract boundary shapefiles are downloaded per state, providing the 11-digit GEOID, land area (ALAND), water area (AWATER), and polygon geometry (EPSG:4326). Tract attributes are saved to </w:t>
      </w:r>
      <w:r>
        <w:rPr>
          <w:rStyle w:val="VerbatimChar"/>
        </w:rPr>
        <w:t xml:space="preserve">tracts_{state}.gpkg</w:t>
      </w:r>
      <w:r>
        <w:t xml:space="preserve"> and reused by all later stages (area normalization, the MCMC polygon constraint, and panel joins).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OpenStreetMap pedestrian network</w:t>
      </w:r>
      <w:r>
        <w:t xml:space="preserve"> — two extraction paths: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Overpass API</w:t>
      </w:r>
      <w:r>
        <w:t xml:space="preserve"> (pilot): one query per county, split locally afterwards. This keeps API load at roughly 3,200 county queries nationwide instead of 84,414 per-tract queries.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Geofabrik state </w:t>
      </w:r>
      <w:r>
        <w:rPr>
          <w:rStyle w:val="VerbatimChar"/>
          <w:i/>
          <w:iCs/>
        </w:rPr>
        <w:t xml:space="preserve">.pbf</w:t>
      </w:r>
      <w:r>
        <w:rPr>
          <w:i/>
          <w:iCs/>
        </w:rPr>
        <w:t xml:space="preserve"> extracts</w:t>
      </w:r>
      <w:r>
        <w:t xml:space="preserve"> (national scale, default): one </w:t>
      </w:r>
      <w:r>
        <w:rPr>
          <w:rStyle w:val="VerbatimChar"/>
        </w:rPr>
        <w:t xml:space="preserve">.pbf</w:t>
      </w:r>
      <w:r>
        <w:t xml:space="preserve"> per state, parsed locally with pyrosm. Because a whole-state walk graph for a large state exceeds 7M nodes and runs out of memory, each state is processed </w:t>
      </w:r>
      <w:r>
        <w:rPr>
          <w:b/>
          <w:bCs/>
        </w:rPr>
        <w:t xml:space="preserve">county by county</w:t>
      </w:r>
      <w:r>
        <w:t xml:space="preserve">, parsing only that county’s bounding box to bound peak memory.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External socioeconomic data</w:t>
      </w:r>
      <w:r>
        <w:t xml:space="preserve"> (joined in Stage 8): Opportunity Atlas (economic mobility, incarceration), Eviction Lab (eviction filing rates, 2014–18 mean), FARS (pedestrian fatalities 2017–21, spatially joined by crash coordinates), LODES8 (job counts, stable-job share), and ACS 5-year (population, income, race, education, walk-to-work share).</w:t>
      </w:r>
    </w:p>
    <w:bookmarkEnd w:id="21"/>
    <w:bookmarkStart w:id="22" w:name="network-extraction-procedure"/>
    <w:p>
      <w:pPr>
        <w:pStyle w:val="Heading2"/>
      </w:pPr>
      <w:r>
        <w:t xml:space="preserve">1.2 Network Extraction Procedure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County polygon construction</w:t>
      </w:r>
      <w:r>
        <w:t xml:space="preserve">: the union of a county’s tract polygons is projected to UTM and buffered by </w:t>
      </w:r>
      <w:r>
        <w:rPr>
          <w:b/>
          <w:bCs/>
        </w:rPr>
        <w:t xml:space="preserve">300 m</w:t>
      </w:r>
      <w:r>
        <w:t xml:space="preserve"> — this prevents streets crossing the county boundary from being clipped, which would distort the metrics of boundary tracts.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Walk-graph construction</w:t>
      </w:r>
      <w:r>
        <w:t xml:space="preserve">: the OSMnx </w:t>
      </w:r>
      <w:r>
        <w:rPr>
          <w:rStyle w:val="VerbatimChar"/>
        </w:rPr>
        <w:t xml:space="preserve">network_type="walk"</w:t>
      </w:r>
      <w:r>
        <w:t xml:space="preserve"> filter keeps only walkable ways (</w:t>
      </w:r>
      <w:r>
        <w:rPr>
          <w:rStyle w:val="VerbatimChar"/>
        </w:rPr>
        <w:t xml:space="preserve">retain_all=True</w:t>
      </w:r>
      <w:r>
        <w:t xml:space="preserve">, </w:t>
      </w:r>
      <w:r>
        <w:rPr>
          <w:rStyle w:val="VerbatimChar"/>
        </w:rPr>
        <w:t xml:space="preserve">truncate_by_edge=True</w:t>
      </w:r>
      <w:r>
        <w:t xml:space="preserve">); OSM boolean tags (</w:t>
      </w:r>
      <w:r>
        <w:rPr>
          <w:rStyle w:val="VerbatimChar"/>
        </w:rPr>
        <w:t xml:space="preserve">oneway</w:t>
      </w:r>
      <w:r>
        <w:t xml:space="preserve">, </w:t>
      </w:r>
      <w:r>
        <w:rPr>
          <w:rStyle w:val="VerbatimChar"/>
        </w:rPr>
        <w:t xml:space="preserve">reversed</w:t>
      </w:r>
      <w:r>
        <w:t xml:space="preserve">) are normalized, and the graph is </w:t>
      </w:r>
      <w:r>
        <w:rPr>
          <w:b/>
          <w:bCs/>
        </w:rPr>
        <w:t xml:space="preserve">topologically simplified</w:t>
      </w:r>
      <w:r>
        <w:t xml:space="preserve"> (</w:t>
      </w:r>
      <w:r>
        <w:rPr>
          <w:rStyle w:val="VerbatimChar"/>
        </w:rPr>
        <w:t xml:space="preserve">simplify_graph</w:t>
      </w:r>
      <w:r>
        <w:t xml:space="preserve">) to intersection-to-intersection segments.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Tract splitting</w:t>
      </w:r>
      <w:r>
        <w:t xml:space="preserve">: the county graph is cut into per-tract subgraphs using the truncate-by-edge rule — nodes inside the polygon plus their direct neighbors are retained, so edges crossing the tract boundary survive. A county-wide spatial index (R-tree) is built once, so the per-tract cost scales with the number of nearby nodes rather than the size of the whole graph. The result is one </w:t>
      </w:r>
      <w:r>
        <w:rPr>
          <w:rStyle w:val="VerbatimChar"/>
        </w:rPr>
        <w:t xml:space="preserve">{GEOID}.graphml</w:t>
      </w:r>
      <w:r>
        <w:t xml:space="preserve"> per tract.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Robustness</w:t>
      </w:r>
      <w:r>
        <w:t xml:space="preserve">: every step is resumable (already-extracted tracts are skipped); tracts without streets (water, parks) and county-level failures are recorded in </w:t>
      </w:r>
      <w:r>
        <w:rPr>
          <w:rStyle w:val="VerbatimChar"/>
        </w:rPr>
        <w:t xml:space="preserve">extract_log.csv</w:t>
      </w:r>
      <w:r>
        <w:t xml:space="preserve"> without aborting the run. Mega-counties are isolated in separate processes so an out-of-memory kill cannot block the rest of the state.</w:t>
      </w:r>
    </w:p>
    <w:bookmarkEnd w:id="22"/>
    <w:bookmarkStart w:id="23" w:name="Xbe26883c8f52c035159c8c2c659795f69fc00ee"/>
    <w:p>
      <w:pPr>
        <w:pStyle w:val="Heading2"/>
      </w:pPr>
      <w:r>
        <w:t xml:space="preserve">1.3 Pre-processing (Common Steps Before Analysis)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 metric computation (Stage 2)</w:t>
      </w:r>
      <w:r>
        <w:t xml:space="preserve">: graphs are projected and converted to undirected form. Intersections (</w:t>
      </w:r>
      <m:oMath>
        <m:r>
          <m:t>deg</m:t>
        </m:r>
        <m:r>
          <m:rPr>
            <m:sty m:val="p"/>
          </m:rPr>
          <m:t>≥</m:t>
        </m:r>
        <m:r>
          <m:t>3</m:t>
        </m:r>
      </m:oMath>
      <w:r>
        <w:t xml:space="preserve">) and dead ends (</w:t>
      </w:r>
      <m:oMath>
        <m:r>
          <m:t>deg</m:t>
        </m:r>
        <m:r>
          <m:rPr>
            <m:sty m:val="p"/>
          </m:rPr>
          <m:t>=</m:t>
        </m:r>
        <m:r>
          <m:t>1</m:t>
        </m:r>
      </m:oMath>
      <w:r>
        <w:t xml:space="preserve">) are classified by node degree, and tracts with fewer than 5 nodes are excluded as </w:t>
      </w:r>
      <w:r>
        <w:rPr>
          <w:rStyle w:val="VerbatimChar"/>
        </w:rPr>
        <w:t xml:space="preserve">too_small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 MCMC state initialization (Stages 4–5)</w:t>
      </w:r>
      <w:r>
        <w:t xml:space="preserve">: graphs are converted to projected undirected </w:t>
      </w:r>
      <w:r>
        <w:rPr>
          <w:b/>
          <w:bCs/>
        </w:rPr>
        <w:t xml:space="preserve">simple graphs</w:t>
      </w:r>
      <w:r>
        <w:t xml:space="preserve"> — self-loops removed, only the largest connected component kept, curved geometry abstracted to straight edges with lengths recomputed as Euclidean distances (the real network is re-scored under the same abstraction to keep the comparison fair). The tract polygon, buffered by 20 m, serves as the node-placement constraint region.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 panel construction (Stage 8b)</w:t>
      </w:r>
      <w:r>
        <w:t xml:space="preserve">: all external data are joined on the standardized 11-digit GEOID (FARS crashes are spatially joined to tract polygons by coordinates). ALAND is converted to km² as the denominator for population and job densities, and pilot/duplicate layers are dropped.</w:t>
      </w:r>
    </w:p>
    <w:bookmarkEnd w:id="23"/>
    <w:bookmarkEnd w:id="24"/>
    <w:bookmarkStart w:id="25" w:name="the-six-uoi-metrics-stage-2"/>
    <w:p>
      <w:pPr>
        <w:pStyle w:val="Heading1"/>
      </w:pPr>
      <w:r>
        <w:t xml:space="preserve">2. The Six UOI Metrics (Stage 2)</w:t>
      </w:r>
    </w:p>
    <w:p>
      <w:pPr>
        <w:pStyle w:val="FirstParagraph"/>
      </w:pPr>
      <w:r>
        <w:t xml:space="preserve">For each tract, the metrics are computed on the undirected projected graph </w:t>
      </w:r>
      <m:oMath>
        <m:r>
          <m:t>G</m:t>
        </m:r>
        <m:r>
          <m:rPr>
            <m:sty m:val="p"/>
          </m:rPr>
          <m:t>=(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 </w:t>
      </w:r>
      <m:oMath>
        <m:r>
          <m:t>n</m:t>
        </m:r>
        <m:r>
          <m:rPr>
            <m:sty m:val="p"/>
          </m:rPr>
          <m:t>=|</m:t>
        </m:r>
        <m:r>
          <m:t>V</m:t>
        </m:r>
        <m:r>
          <m:rPr>
            <m:sty m:val="p"/>
          </m:rPr>
          <m:t>|</m:t>
        </m:r>
      </m:oMath>
      <w:r>
        <w:t xml:space="preserve">, </w:t>
      </w:r>
      <m:oMath>
        <m:r>
          <m:t>m</m:t>
        </m:r>
        <m:r>
          <m:rPr>
            <m:sty m:val="p"/>
          </m:rPr>
          <m:t>=|</m:t>
        </m:r>
        <m:r>
          <m:t>E</m:t>
        </m:r>
        <m:r>
          <m:rPr>
            <m:sty m:val="p"/>
          </m:rPr>
          <m:t>|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1) Link-node ratio</w:t>
      </w:r>
      <w:r>
        <w:t xml:space="preserve"> (higher is better; recommended </w:t>
      </w:r>
      <m:oMath>
        <m:r>
          <m:rPr>
            <m:sty m:val="p"/>
          </m:rPr>
          <m:t>≥</m:t>
        </m:r>
        <m:r>
          <m:t>1.4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LNR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2) Connected node ratio</w:t>
      </w:r>
      <w:r>
        <w:t xml:space="preserve"> (higher is better; recommended </w:t>
      </w:r>
      <m:oMath>
        <m:r>
          <m:rPr>
            <m:sty m:val="p"/>
          </m:rPr>
          <m:t>≥</m:t>
        </m:r>
        <m:r>
          <m:t>0.7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CNR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deg</m:t>
                  </m:r>
                  <m:r>
                    <m:rPr>
                      <m:sty m:val="p"/>
                    </m:rPr>
                    <m:t>≥</m:t>
                  </m:r>
                  <m:r>
                    <m:t>3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deg</m:t>
                  </m:r>
                  <m:r>
                    <m:rPr>
                      <m:sty m:val="p"/>
                    </m:rPr>
                    <m:t>≥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deg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3) Intersection density</w:t>
      </w:r>
      <w:r>
        <w:t xml:space="preserve"> (higher is better; recommended </w:t>
      </w:r>
      <m:oMath>
        <m:r>
          <m:rPr>
            <m:sty m:val="p"/>
          </m:rPr>
          <m:t>&gt;</m:t>
        </m:r>
        <m:r>
          <m:t>140</m:t>
        </m:r>
        <m:r>
          <m:rPr>
            <m:sty m:val="p"/>
          </m:rPr>
          <m:t>/</m:t>
        </m:r>
        <m:sSup>
          <m:e>
            <m:r>
              <m:t>mi</m:t>
            </m:r>
          </m:e>
          <m:sup>
            <m:r>
              <m:t>2</m:t>
            </m:r>
          </m:sup>
        </m:sSup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ID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deg</m:t>
                  </m:r>
                  <m:r>
                    <m:rPr>
                      <m:sty m:val="p"/>
                    </m:rPr>
                    <m:t>≥</m:t>
                  </m:r>
                  <m:r>
                    <m:t>3</m:t>
                  </m:r>
                </m:sub>
              </m:sSub>
            </m:num>
            <m:den>
              <m:r>
                <m:t>ALAND </m:t>
              </m:r>
              <m:r>
                <m:rPr>
                  <m:sty m:val="p"/>
                </m:rPr>
                <m:t>(</m:t>
              </m:r>
              <m:sSup>
                <m:e>
                  <m:r>
                    <m:t>mile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4) Median block length</w:t>
      </w:r>
      <w:r>
        <w:t xml:space="preserve"> (lower is better; recommended </w:t>
      </w:r>
      <m:oMath>
        <m:r>
          <m:rPr>
            <m:sty m:val="p"/>
          </m:rPr>
          <m:t>≤</m:t>
        </m:r>
        <m:r>
          <m:t>600 ft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MBL</m:t>
          </m:r>
          <m:r>
            <m:rPr>
              <m:sty m:val="p"/>
            </m:rPr>
            <m:t>=</m:t>
          </m:r>
          <m:sSub>
            <m:e>
              <m:r>
                <m:t>median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)×</m:t>
          </m:r>
          <m:r>
            <m:t>3.281 ft</m:t>
          </m:r>
        </m:oMath>
      </m:oMathPara>
    </w:p>
    <w:p>
      <w:pPr>
        <w:pStyle w:val="FirstParagraph"/>
      </w:pPr>
      <w:r>
        <w:rPr>
          <w:b/>
          <w:bCs/>
        </w:rPr>
        <w:t xml:space="preserve">5) Walking circuity</w:t>
      </w:r>
      <w:r>
        <w:t xml:space="preserve"> (recommended band </w:t>
      </w:r>
      <m:oMath>
        <m:r>
          <m:rPr>
            <m:sty m:val="p"/>
          </m:rPr>
          <m:t>[</m:t>
        </m:r>
        <m:r>
          <m:t>1.2</m:t>
        </m:r>
        <m:r>
          <m:rPr>
            <m:sty m:val="p"/>
          </m:rPr>
          <m:t>,</m:t>
        </m:r>
        <m:r>
          <m:t>1.7</m:t>
        </m:r>
        <m:r>
          <m:rPr>
            <m:sty m:val="p"/>
          </m:rPr>
          <m:t>]</m:t>
        </m:r>
      </m:oMath>
      <w:r>
        <w:t xml:space="preserve">) — sample of 500 OD node pairs: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d</m:t>
                      </m:r>
                    </m:e>
                    <m:sub>
                      <m:r>
                        <m:t>net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d</m:t>
                      </m:r>
                    </m:e>
                    <m:sub>
                      <m:r>
                        <m:t>euc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6) Pedshed reach</w:t>
      </w:r>
      <w:r>
        <w:t xml:space="preserve"> (higher is better) — at each H3 res-9 lattice point </w:t>
      </w:r>
      <m:oMath>
        <m:r>
          <m:t>p</m:t>
        </m:r>
      </m:oMath>
      <w:r>
        <w:t xml:space="preserve"> inside the tract, snap to the nearest node; then normalize the total road length within the 400 m network-distance ego-graph by the area of a 400 m-radius disk: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  <m:r>
                <m:rPr>
                  <m:sty m:val="p"/>
                </m:rPr>
                <m:t>∈</m:t>
              </m:r>
              <m:r>
                <m:t>H3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e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ego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400m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</m:e>
                  </m:nary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400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bookmarkEnd w:id="25"/>
    <w:bookmarkStart w:id="26" w:name="composite-uoi-score-stage-3"/>
    <w:p>
      <w:pPr>
        <w:pStyle w:val="Heading1"/>
      </w:pPr>
      <w:r>
        <w:t xml:space="preserve">3. Composite UOI Score (Stage 3)</w:t>
      </w:r>
    </w:p>
    <w:p>
      <w:pPr>
        <w:pStyle w:val="FirstParagraph"/>
      </w:pPr>
      <w:r>
        <w:t xml:space="preserve">Each metric is converted to a nationwide percentile rank (with directional alignment: block length and circuity are inverted), and the mean of the six percentiles is taken:</w:t>
      </w:r>
    </w:p>
    <w:p>
      <w:pPr>
        <w:pStyle w:val="BodyText"/>
      </w:pPr>
      <m:oMathPara>
        <m:oMathParaPr>
          <m:jc m:val="center"/>
        </m:oMathParaPr>
        <m:oMath>
          <m:r>
            <m:t>UOI</m:t>
          </m:r>
          <m:r>
            <m:rPr>
              <m:sty m:val="p"/>
            </m:rPr>
            <m:t>_</m:t>
          </m:r>
          <m:r>
            <m:t>score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6</m:t>
              </m:r>
            </m:sup>
            <m:e>
              <m:sSub>
                <m:e>
                  <m:r>
                    <m:t>pct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∈[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These scores rank all tracts nationwide to select the top-1000. (The four dimensions of the legacy </w:t>
      </w:r>
      <w:r>
        <w:rPr>
          <w:rStyle w:val="VerbatimChar"/>
        </w:rPr>
        <w:t xml:space="preserve">02_compute_uoi.py</w:t>
      </w:r>
      <w:r>
        <w:t xml:space="preserve">—connectivity, efficiency, accessibility, equity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Gini</m:t>
        </m:r>
        <m:r>
          <m:rPr>
            <m:sty m:val="p"/>
          </m:rPr>
          <m:t>(</m:t>
        </m:r>
        <m:r>
          <m:t>reach</m:t>
        </m:r>
        <m:r>
          <m:rPr>
            <m:sty m:val="p"/>
          </m:rPr>
          <m:t>)</m:t>
        </m:r>
      </m:oMath>
      <w:r>
        <w:t xml:space="preserve">—are not merged into a single score but are shown only as a Pareto frontier.)</w:t>
      </w:r>
    </w:p>
    <w:bookmarkEnd w:id="26"/>
    <w:bookmarkStart w:id="27" w:name="X272ae71ec2f76a73267efd961c2f65b98208131"/>
    <w:p>
      <w:pPr>
        <w:pStyle w:val="Heading1"/>
      </w:pPr>
      <w:r>
        <w:t xml:space="preserve">4. RJ-MCMC Counterfactual Network Search (Stages 4–5)</w:t>
      </w:r>
    </w:p>
    <w:p>
      <w:pPr>
        <w:pStyle w:val="FirstParagraph"/>
      </w:pPr>
      <w:r>
        <w:rPr>
          <w:b/>
          <w:bCs/>
        </w:rPr>
        <w:t xml:space="preserve">State space.</w:t>
      </w:r>
      <w:r>
        <w:t xml:space="preserve"> A physically plausible planar graph inside the tract polygon. Edges are abstracted as straight lines, and the real network is re-scored under the same abstraction to keep the comparison fair.</w:t>
      </w:r>
    </w:p>
    <w:p>
      <w:pPr>
        <w:pStyle w:val="BodyText"/>
      </w:pPr>
      <w:r>
        <w:rPr>
          <w:b/>
          <w:bCs/>
        </w:rPr>
        <w:t xml:space="preserve">Constraints.</w:t>
      </w:r>
      <w:r>
        <w:t xml:space="preserve"> Planarity (no edge crossings), connectivity, </w:t>
      </w:r>
      <m:oMath>
        <m:r>
          <m:t>deg</m:t>
        </m:r>
        <m:r>
          <m:rPr>
            <m:sty m:val="p"/>
          </m:rPr>
          <m:t>≤</m:t>
        </m:r>
        <m:r>
          <m:t>5</m:t>
        </m:r>
      </m:oMath>
      <w:r>
        <w:t xml:space="preserve">, minimum node spacing of 15 m, edge length 20–250 m, and node/edge counts no more than three times those of the initial network.</w:t>
      </w:r>
    </w:p>
    <w:p>
      <w:pPr>
        <w:pStyle w:val="BodyText"/>
      </w:pPr>
      <w:r>
        <w:rPr>
          <w:b/>
          <w:bCs/>
        </w:rPr>
        <w:t xml:space="preserve">Moves.</w:t>
      </w:r>
      <w:r>
        <w:t xml:space="preserve"> shift(0.40), add_edge(0.15), remove_edge(0.15), add_node/subdivide(0.15), remove_node/merge(0.15). Each move is paired with its reverse move, and the Hastings correction is computed explicitly. For example, for add_edge: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H</m:t>
          </m:r>
          <m:r>
            <m:rPr>
              <m:sty m:val="p"/>
            </m:rPr>
            <m:t>=</m:t>
          </m:r>
          <m:r>
            <m:t>log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rev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fwd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fwd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 </m:t>
              </m:r>
              <m:sSub>
                <m:e>
                  <m:r>
                    <m:t>c</m:t>
                  </m:r>
                </m:e>
                <m:sub>
                  <m:r>
                    <m:t>u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 </m:t>
              </m:r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rev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t>removable</m:t>
              </m:r>
              <m:r>
                <m:rPr>
                  <m:sty m:val="p"/>
                </m:rPr>
                <m:t>(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)|</m:t>
              </m:r>
            </m:den>
          </m:f>
        </m:oMath>
      </m:oMathPara>
    </w:p>
    <w:p>
      <w:pPr>
        <w:pStyle w:val="FirstParagraph"/>
      </w:pPr>
      <w:r>
        <w:t xml:space="preserve">(add/remove_node include a uniform-disk proposal-density term of radius 20 m, </w:t>
      </w:r>
      <m:oMath>
        <m:r>
          <m:t>1</m:t>
        </m:r>
        <m:r>
          <m:rPr>
            <m:sty m:val="p"/>
          </m:rPr>
          <m:t>/(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Target distribution and acceptance rule.</w:t>
      </w:r>
      <w:r>
        <w:t xml:space="preserve"> With sharpness </w:t>
      </w:r>
      <m:oMath>
        <m:r>
          <m:t>S</m:t>
        </m:r>
        <m:r>
          <m:rPr>
            <m:sty m:val="p"/>
          </m:rPr>
          <m:t>=</m:t>
        </m:r>
        <m:r>
          <m:t>60</m:t>
        </m:r>
      </m:oMath>
      <w:r>
        <w:t xml:space="preserve"> and temperature ladder 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t xml:space="preserve">, the acceptance rule is: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)∝</m:t>
          </m:r>
          <m: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t>S β E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 xml:space="preserve">accept if </m:t>
          </m:r>
          <m:r>
            <m:rPr>
              <m:sty m:val="p"/>
            </m:rPr>
            <m:t>log</m:t>
          </m:r>
          <m:r>
            <m:t>u</m:t>
          </m:r>
          <m:r>
            <m:rPr>
              <m:sty m:val="p"/>
            </m:rPr>
            <m:t>&lt;</m:t>
          </m:r>
          <m:r>
            <m:t>S </m:t>
          </m:r>
          <m:sSub>
            <m:e>
              <m:r>
                <m:t>β</m:t>
              </m:r>
            </m:e>
            <m:sub>
              <m:r>
                <m:t>t</m:t>
              </m:r>
            </m:sub>
          </m:sSub>
          <m:r>
            <m:t> 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)+</m:t>
          </m:r>
          <m:r>
            <m:t>logH</m:t>
          </m:r>
        </m:oMath>
      </m:oMathPara>
    </w:p>
    <w:p>
      <w:pPr>
        <w:pStyle w:val="FirstParagraph"/>
      </w:pPr>
      <w:r>
        <w:rPr>
          <w:b/>
          <w:bCs/>
        </w:rPr>
        <w:t xml:space="preserve">Energy (six-metric spec version).</w:t>
      </w:r>
      <w:r>
        <w:t xml:space="preserve"> A weighted sum of the improvement vector: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)=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6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tanh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τ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  w</m:t>
          </m:r>
          <m:r>
            <m:rPr>
              <m:sty m:val="p"/>
            </m:rPr>
            <m:t>∼</m:t>
          </m:r>
          <m:r>
            <m:t>Dirichlet</m:t>
          </m:r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1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),</m:t>
          </m:r>
          <m:r>
            <m:t>  τ</m:t>
          </m:r>
          <m:r>
            <m:rPr>
              <m:sty m:val="p"/>
            </m:rPr>
            <m:t>=</m:t>
          </m:r>
          <m:r>
            <m:t>0.5</m:t>
          </m:r>
        </m:oMath>
      </m:oMathPara>
    </w:p>
    <w:p>
      <w:pPr>
        <w:pStyle w:val="FirstParagraph"/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is the direction-aligned, scale-free log improvement measured against the real network:</w:t>
      </w:r>
    </w:p>
    <w:p>
      <w:pPr>
        <w:pStyle w:val="Compact"/>
        <w:numPr>
          <w:ilvl w:val="0"/>
          <w:numId w:val="1005"/>
        </w:numPr>
      </w:pPr>
      <w:r>
        <w:t xml:space="preserve">Metrics where higher is better (1, 2, 3, 6):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log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Sup>
          <m:e>
            <m:r>
              <m:t>v</m:t>
            </m:r>
          </m:e>
          <m:sub>
            <m:r>
              <m:t>i</m:t>
            </m:r>
          </m:sub>
          <m:sup>
            <m:r>
              <m:t>real</m:t>
            </m:r>
          </m:sup>
        </m:sSubSup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Block length (4): </w:t>
      </w:r>
      <m:oMath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log</m:t>
        </m:r>
        <m:r>
          <m:rPr>
            <m:sty m:val="p"/>
          </m:rPr>
          <m:t>(</m:t>
        </m:r>
        <m:sSubSup>
          <m:e>
            <m:r>
              <m:t>v</m:t>
            </m:r>
          </m:e>
          <m:sub>
            <m:r>
              <m:t>4</m:t>
            </m:r>
          </m:sub>
          <m:sup>
            <m:r>
              <m:t>real</m:t>
            </m:r>
          </m:sup>
        </m:sSubSup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Circuity (5): the reduction in the band-violation penalty </w:t>
      </w:r>
      <m:oMath>
        <m:sSub>
          <m:e>
            <m:r>
              <m:t>x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p>
          <m:e>
            <m:r>
              <m:t>c</m:t>
            </m:r>
          </m:e>
          <m:sup>
            <m:r>
              <m:t>real</m:t>
            </m:r>
          </m:sup>
        </m:sSup>
        <m:r>
          <m:rPr>
            <m:sty m:val="p"/>
          </m:rPr>
          <m:t>)−</m:t>
        </m:r>
        <m: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where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log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c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1.2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1.2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c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1.7</m:t>
                    </m:r>
                  </m:e>
                </m:mr>
                <m:mr>
                  <m:e>
                    <m:r>
                      <m:t>log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c</m:t>
                    </m:r>
                    <m:r>
                      <m:rPr>
                        <m:sty m:val="p"/>
                      </m:rPr>
                      <m:t>/</m:t>
                    </m:r>
                    <m:r>
                      <m:t>1.7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c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1.7</m:t>
                    </m:r>
                  </m:e>
                </m:mr>
              </m:m>
            </m:e>
          </m:d>
          <m:r>
            <m:t> </m:t>
          </m:r>
        </m:oMath>
      </m:oMathPara>
    </w:p>
    <w:p>
      <w:pPr>
        <w:pStyle w:val="FirstParagraph"/>
      </w:pPr>
      <w:r>
        <w:t xml:space="preserve">Because </w:t>
      </w:r>
      <m:oMath>
        <m:r>
          <m:rPr>
            <m:sty m:val="p"/>
          </m:rPr>
          <m:t>tanh</m:t>
        </m:r>
      </m:oMath>
      <w:r>
        <w:t xml:space="preserve"> saturation prevents any single metric from monopolizing the energy, the optimum is a network that “pulls every metric toward its recommended criterion.” (The legacy four-dimensional energy is </w:t>
      </w:r>
      <m:oMath>
        <m:r>
          <m:t>E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ln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Sup>
          <m:e>
            <m:r>
              <m:t>u</m:t>
            </m:r>
          </m:e>
          <m:sub>
            <m:r>
              <m:t>i</m:t>
            </m:r>
          </m:sub>
          <m:sup>
            <m:r>
              <m:t>real</m:t>
            </m:r>
          </m:sup>
        </m:sSubSup>
        <m:r>
          <m:rPr>
            <m:sty m:val="p"/>
          </m:rPr>
          <m:t>)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MCMC-time surrogate evaluation.</w:t>
      </w:r>
      <w:r>
        <w:t xml:space="preserve"> Metrics 1–4 are computed exactly in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on the candidate graph. Metrics 5–6 are obtained simultaneously from a single multi-source Dijkstra over 12 fixed anchors (snapped to nearest nodes), yielding circuity (network/straight-line distance for anchor pairs) and pedshed (400 m reachable road length per anchor).</w:t>
      </w:r>
    </w:p>
    <w:p>
      <w:pPr>
        <w:pStyle w:val="BodyText"/>
      </w:pPr>
      <w:r>
        <w:rPr>
          <w:b/>
          <w:bCs/>
        </w:rPr>
        <w:t xml:space="preserve">Parallel tempering.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t>geomspace</m:t>
        </m:r>
        <m:r>
          <m:rPr>
            <m:sty m:val="p"/>
          </m:rPr>
          <m:t>(</m:t>
        </m:r>
        <m:r>
          <m:t>1.0</m:t>
        </m:r>
        <m:r>
          <m:rPr>
            <m:sty m:val="p"/>
          </m:rPr>
          <m:t>,</m:t>
        </m:r>
        <m:r>
          <m:t> 0.18</m:t>
        </m:r>
        <m:r>
          <m:rPr>
            <m:sty m:val="p"/>
          </m:rPr>
          <m:t>,</m:t>
        </m:r>
        <m:r>
          <m:t> T</m:t>
        </m:r>
        <m:r>
          <m:rPr>
            <m:sty m:val="p"/>
          </m:rPr>
          <m:t>)</m:t>
        </m:r>
      </m:oMath>
      <w:r>
        <w:t xml:space="preserve">, with adjacent-temperature states swapped every 20 iterations: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u</m:t>
          </m:r>
          <m:r>
            <m:rPr>
              <m:sty m:val="p"/>
            </m:rPr>
            <m:t>&lt;</m:t>
          </m:r>
          <m:r>
            <m:t>S 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)(</m:t>
          </m:r>
          <m:sSub>
            <m:e>
              <m:r>
                <m:t>E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Convergence diagnostic — split Gelman–Rubin.</w:t>
      </w:r>
      <w:r>
        <w:t xml:space="preserve"> With equal weights </w:t>
      </w:r>
      <m:oMath>
        <m:r>
          <m:t>w</m:t>
        </m:r>
      </m:oMath>
      <w:r>
        <w:t xml:space="preserve">, the latter half of each replica trace is split into two halves, giving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L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L</m:t>
                      </m:r>
                    </m:den>
                  </m:f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L</m:t>
                      </m:r>
                    </m:den>
                  </m:f>
                </m:num>
                <m:den>
                  <m:r>
                    <m:t>W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(</w:t>
      </w:r>
      <m:oMath>
        <m:r>
          <m:t>W</m:t>
        </m:r>
      </m:oMath>
      <w:r>
        <w:t xml:space="preserve">: mean within-chain variance, </w:t>
      </w:r>
      <m:oMath>
        <m:r>
          <m:t>B</m:t>
        </m:r>
      </m:oMath>
      <w:r>
        <w:t xml:space="preserve">: between-chain variance.)</w:t>
      </w:r>
    </w:p>
    <w:p>
      <w:pPr>
        <w:pStyle w:val="BodyText"/>
      </w:pPr>
      <w:r>
        <w:rPr>
          <w:b/>
          <w:bCs/>
        </w:rPr>
        <w:t xml:space="preserve">Key output — distance-to-frontier (dtf).</w:t>
      </w:r>
      <w:r>
        <w:t xml:space="preserve"> For the Pareto front of the set that combines the posterior improvement-vector cloud with the real network (the origin </w:t>
      </w:r>
      <m:oMath>
        <m:r>
          <m:rPr>
            <m:sty m:val="b"/>
          </m:rPr>
          <m:t>0</m:t>
        </m:r>
      </m:oMath>
      <w:r>
        <w:t xml:space="preserve"> of the improvement space), and relative to the reference point </w:t>
      </w:r>
      <m:oMath>
        <m:r>
          <m:rPr>
            <m:sty m:val="b"/>
          </m:rPr>
          <m:t>−1</m:t>
        </m:r>
      </m:oMath>
      <w:r>
        <w:t xml:space="preserve"> (</w:t>
      </w:r>
      <m:oMath>
        <m:r>
          <m:rPr>
            <m:sty m:val="p"/>
          </m:rPr>
          <m:t>tanh</m:t>
        </m:r>
      </m:oMath>
      <w:r>
        <w:t xml:space="preserve"> lower bound), the relative shortfall in hypervolume is estimated by Monte Carlo:</w:t>
      </w:r>
    </w:p>
    <w:p>
      <w:pPr>
        <w:pStyle w:val="BodyText"/>
      </w:pPr>
      <m:oMathPara>
        <m:oMathParaPr>
          <m:jc m:val="center"/>
        </m:oMathParaPr>
        <m:oMath>
          <m:r>
            <m:t>dtf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HV</m:t>
              </m:r>
              <m:r>
                <m:rPr>
                  <m:sty m:val="p"/>
                </m:rPr>
                <m:t>(</m:t>
              </m:r>
              <m:r>
                <m:t>real</m:t>
              </m:r>
              <m:r>
                <m:rPr>
                  <m:sty m:val="p"/>
                </m:rPr>
                <m:t>)</m:t>
              </m:r>
            </m:num>
            <m:den>
              <m:r>
                <m:t>HV</m:t>
              </m:r>
              <m:r>
                <m:rPr>
                  <m:sty m:val="p"/>
                </m:rPr>
                <m:t>(</m:t>
              </m:r>
              <m:r>
                <m:t>front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>
        <m:r>
          <m:t>dtf</m:t>
        </m:r>
        <m:r>
          <m:rPr>
            <m:sty m:val="p"/>
          </m:rPr>
          <m:t>=</m:t>
        </m:r>
        <m:r>
          <m:t>0</m:t>
        </m:r>
      </m:oMath>
      <w:r>
        <w:t xml:space="preserve"> means the real network is already Pareto-optimal; larger values indicate greater room for improvement under the same constraints.</w:t>
      </w:r>
    </w:p>
    <w:bookmarkEnd w:id="27"/>
    <w:bookmarkStart w:id="28" w:name="Xb91bb3859ab2854f21dfb2c5a45dabcccf4bd3f"/>
    <w:p>
      <w:pPr>
        <w:pStyle w:val="Heading1"/>
      </w:pPr>
      <w:r>
        <w:t xml:space="preserve">5. Synthesis of Hypothetical Networks (Stage 6)</w:t>
      </w:r>
    </w:p>
    <w:p>
      <w:pPr>
        <w:pStyle w:val="FirstParagraph"/>
      </w:pPr>
      <w:r>
        <w:t xml:space="preserve">Because no real reference network exists, a “reach-or-better” reward targeting the median metric values of the top-1000 tracts is used. The per-dimension reward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∈(−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 plateaus at 0 once the target is reached or exceeded,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6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  w</m:t>
          </m:r>
          <m:r>
            <m:rPr>
              <m:sty m:val="p"/>
            </m:rPr>
            <m:t>∼</m:t>
          </m:r>
          <m:r>
            <m:t>Dirichlet</m:t>
          </m:r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1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maximum value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denotes “all metrics attain the top-1000 benchmark.” The seed archetypes are three: gridded, organic (Delaunay), and hybrid.</w:t>
      </w:r>
    </w:p>
    <w:bookmarkEnd w:id="28"/>
    <w:bookmarkStart w:id="29" w:name="gnn-surrogate-stage-7"/>
    <w:p>
      <w:pPr>
        <w:pStyle w:val="Heading1"/>
      </w:pPr>
      <w:r>
        <w:t xml:space="preserve">6. GNN Surrogate (Stage 7)</w:t>
      </w:r>
    </w:p>
    <w:p>
      <w:pPr>
        <w:pStyle w:val="FirstParagraph"/>
      </w:pPr>
      <w:r>
        <w:t xml:space="preserve">A graph-level regression </w:t>
      </w:r>
      <m:oMath>
        <m:r>
          <m:t>G</m:t>
        </m:r>
        <m:r>
          <m:rPr>
            <m:sty m:val="p"/>
          </m:rPr>
          <m:t>↦</m:t>
        </m:r>
        <m:r>
          <m:t>dtf</m:t>
        </m:r>
      </m:oMath>
      <w:r>
        <w:t xml:space="preserve"> is trained on the 1,000 MCMC-labeled tracts and scores all ~84k tracts nationwide via a forward pass (~ms/tract).</w:t>
      </w:r>
    </w:p>
    <w:p>
      <w:pPr>
        <w:pStyle w:val="Compact"/>
        <w:numPr>
          <w:ilvl w:val="0"/>
          <w:numId w:val="1006"/>
        </w:numPr>
      </w:pPr>
      <w:r>
        <w:t xml:space="preserve">Node features: </w:t>
      </w:r>
      <m:oMath>
        <m:r>
          <m:rPr>
            <m:sty m:val="p"/>
          </m:rPr>
          <m:t>[</m:t>
        </m:r>
        <m:r>
          <m:t>deg</m:t>
        </m:r>
        <m:r>
          <m:rPr>
            <m:sty m:val="p"/>
          </m:rPr>
          <m:t>,</m:t>
        </m:r>
        <m:r>
          <m:t> </m:t>
        </m:r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deg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),</m:t>
        </m:r>
        <m:r>
          <m:t> </m:t>
        </m:r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deg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),</m:t>
        </m:r>
        <m:r>
          <m:t> </m:t>
        </m:r>
        <m:sSub>
          <m:e>
            <m:r>
              <m:t>x</m:t>
            </m:r>
          </m:e>
          <m:sub>
            <m:r>
              <m:t>norm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y</m:t>
            </m:r>
          </m:e>
          <m:sub>
            <m:r>
              <m:t>norm</m:t>
            </m:r>
          </m:sub>
        </m:sSub>
        <m:r>
          <m:rPr>
            <m:sty m:val="p"/>
          </m:rPr>
          <m:t>]</m:t>
        </m:r>
      </m:oMath>
      <w:r>
        <w:t xml:space="preserve">, edge feature: normalized length</w:t>
      </w:r>
    </w:p>
    <w:p>
      <w:pPr>
        <w:pStyle w:val="Compact"/>
        <w:numPr>
          <w:ilvl w:val="0"/>
          <w:numId w:val="1006"/>
        </w:numPr>
      </w:pPr>
      <w:r>
        <w:t xml:space="preserve">Model: 3× GraphSAGE → global mean|max pooling → MLP → scalar</w:t>
      </w:r>
    </w:p>
    <w:p>
      <w:pPr>
        <w:pStyle w:val="Compact"/>
        <w:numPr>
          <w:ilvl w:val="0"/>
          <w:numId w:val="1006"/>
        </w:numPr>
      </w:pPr>
      <w:r>
        <w:t xml:space="preserve">Note: because the dtf labels are outputs of non-converged MCMC (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median ~1.6), they are noisy, and the surrogate’s attainable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is upper-bounded by the label quality. Rank correlation is reported alongside.</w:t>
      </w:r>
    </w:p>
    <w:bookmarkEnd w:id="29"/>
    <w:bookmarkStart w:id="30" w:name="X7e211495cb90f84b384879d26211ea1827ecd46"/>
    <w:p>
      <w:pPr>
        <w:pStyle w:val="Heading1"/>
      </w:pPr>
      <w:r>
        <w:t xml:space="preserve">7. Socioeconomic Correlation and Regression Analysis (Stage 8)</w:t>
      </w:r>
    </w:p>
    <w:p>
      <w:pPr>
        <w:pStyle w:val="FirstParagraph"/>
      </w:pPr>
      <w:r>
        <w:rPr>
          <w:b/>
          <w:bCs/>
        </w:rPr>
        <w:t xml:space="preserve">Adjusted regression (8d).</w:t>
      </w:r>
      <w:r>
        <w:t xml:space="preserve"> A standardized OLS controlling for density, income, and race confounders and for state fixed effects: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UOI</m:t>
              </m:r>
            </m:sub>
          </m:sSub>
          <m:r>
            <m:t> z</m:t>
          </m:r>
          <m:r>
            <m:rPr>
              <m:sty m:val="p"/>
            </m:rPr>
            <m:t>(</m:t>
          </m:r>
          <m:r>
            <m:t>UOI</m:t>
          </m:r>
          <m:r>
            <m:rPr>
              <m:sty m:val="p"/>
            </m:rPr>
            <m:t>)+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z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sSub>
            <m:e>
              <m:r>
                <m:t>ρ</m:t>
              </m:r>
            </m:e>
            <m:sub>
              <m:r>
                <m:t>pop</m:t>
              </m:r>
            </m:sub>
          </m:sSub>
          <m:r>
            <m:rPr>
              <m:sty m:val="p"/>
            </m:rPr>
            <m:t>)+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 z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income</m:t>
          </m:r>
          <m:r>
            <m:rPr>
              <m:sty m:val="p"/>
            </m:rPr>
            <m:t>)+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 z</m:t>
          </m:r>
          <m:r>
            <m:rPr>
              <m:sty m:val="p"/>
            </m:rPr>
            <m:t>(</m:t>
          </m:r>
          <m:r>
            <m:t>pct</m:t>
          </m:r>
          <m:r>
            <m:rPr>
              <m:sty m:val="p"/>
            </m:rPr>
            <m:t>_</m:t>
          </m:r>
          <m:r>
            <m:t>white</m:t>
          </m:r>
          <m:r>
            <m:rPr>
              <m:sty m:val="p"/>
            </m:rPr>
            <m:t>)+</m:t>
          </m:r>
          <m:r>
            <m:t>state FE</m:t>
          </m:r>
          <m:r>
            <m:rPr>
              <m:sty m:val="p"/>
            </m:rPr>
            <m:t>+</m:t>
          </m:r>
          <m:r>
            <m:t>ε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=(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y</m:t>
          </m:r>
          <m:r>
            <m:rPr>
              <m:sty m:val="p"/>
            </m:rPr>
            <m:t>,</m:t>
          </m:r>
          <m:r>
            <m:t>  SE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)=</m:t>
          </m:r>
          <m:rad>
            <m:radPr>
              <m:degHide m:val="on"/>
            </m:radPr>
            <m:deg/>
            <m:e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  <m:sub>
                  <m:r>
                    <m:t>jj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The raw Spearman </w:t>
      </w:r>
      <m:oMath>
        <m:r>
          <m:t>ρ</m:t>
        </m:r>
      </m:oMath>
      <w:r>
        <w:t xml:space="preserve"> and the adjusted </w:t>
      </w:r>
      <m:oMath>
        <m:sSub>
          <m:e>
            <m:r>
              <m:t>β</m:t>
            </m:r>
          </m:e>
          <m:sub>
            <m:r>
              <m:t>UOI</m:t>
            </m:r>
          </m:sub>
        </m:sSub>
      </m:oMath>
      <w:r>
        <w:t xml:space="preserve"> are reported side by side. Outcomes are winsorized at the 0.5/99.5 percentiles, and per-capita pedestrian fatality rates for tracts with populations under 200 are excluded.</w:t>
      </w:r>
    </w:p>
    <w:p>
      <w:pPr>
        <w:pStyle w:val="BodyText"/>
      </w:pPr>
      <w:r>
        <w:rPr>
          <w:b/>
          <w:bCs/>
        </w:rPr>
        <w:t xml:space="preserve">Pedestrian-safety deep dive (8e).</w:t>
      </w:r>
      <w:r>
        <w:t xml:space="preserve"> The residual UOI ↑ → pedestrian-fatality ↑ (</w:t>
      </w:r>
      <m:oMath>
        <m:r>
          <m:t>β</m:t>
        </m:r>
        <m:r>
          <m:rPr>
            <m:sty m:val="p"/>
          </m:rPr>
          <m:t>≈+</m:t>
        </m:r>
        <m:r>
          <m:t>0.21</m:t>
        </m:r>
      </m:oMath>
      <w:r>
        <w:t xml:space="preserve">) relationship that persists after adjustment is traced along three lines: (1) exposure test — whether the effect vanishes when ACS walk-to-work share is added as a control; (2) component decomposition — which of the six metrics carries the risk; (3) mechanism — joining FARS pedestrian-fatality crashes to tracts and profiling road functional class, urban/rural, and intersection vs. mid-block by UOI quintile.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2026-07-03T02:01:02Z</dcterms:created>
  <dcterms:modified xsi:type="dcterms:W3CDTF">2026-07-03T02:01:02Z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