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Security Policy — Access Control Framework</w:t>
      </w:r>
    </w:p>
    <w:p>
      <w:pPr>
        <w:pStyle w:val="Heading1"/>
      </w:pPr>
      <w:r>
        <w:t>Section 1: Introduction</w:t>
      </w:r>
    </w:p>
    <w:p>
      <w:r>
        <w:t>This document outlines the access control and authentication policies for enterprise network infrastructure. It covers identity management, role-based access control (RBAC), and least privilege principles.</w:t>
      </w:r>
    </w:p>
    <w:p>
      <w:pPr>
        <w:pStyle w:val="Heading1"/>
      </w:pPr>
      <w:r>
        <w:t>Section 2: Access Control Policy</w:t>
      </w:r>
    </w:p>
    <w:p>
      <w:r>
        <w:t>Access control must follow the principle of least privilege: users and systems are granted only the permissions required to perform their specific function. All access requests must be justified and approved by the relevant resource owner.</w:t>
      </w:r>
    </w:p>
    <w:p>
      <w:r>
        <w:t>Role-based access control (RBAC) is the primary authorization model. Roles are defined at the department level and reviewed quarterly. No user account may hold roles exceeding their job function.</w:t>
      </w:r>
    </w:p>
    <w:p>
      <w:pPr>
        <w:pStyle w:val="Heading1"/>
      </w:pPr>
      <w:r>
        <w:t>Section 3: Authentication Requirements</w:t>
      </w:r>
    </w:p>
    <w:p>
      <w:r>
        <w:t>All user authentication must use multi-factor authentication (MFA). Service accounts require certificate-based authentication. Passwords must be at least 16 characters. Session tokens expire after 8 hours of inactivity.</w:t>
      </w:r>
    </w:p>
    <w:p>
      <w:pPr>
        <w:pStyle w:val="Heading1"/>
      </w:pPr>
      <w:r>
        <w:t>Section 4: Authorization and Audit</w:t>
      </w:r>
    </w:p>
    <w:p>
      <w:r>
        <w:t>Authorization decisions are logged centrally. Privileged access management (PAM) controls all administrative sessions. Access to sensitive systems requires just-in-time (JIT) authorization with a 4-hour window.</w:t>
      </w:r>
    </w:p>
    <w:p>
      <w:pPr>
        <w:pStyle w:val="Heading1"/>
      </w:pPr>
      <w:r>
        <w:t>Section 5: Conclusion</w:t>
      </w:r>
    </w:p>
    <w:p>
      <w:r>
        <w:t>Adherence to this access control framework is mandatory for all staff and contractors. Violations are subject to disciplinary action including revocation of system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