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C029" w14:textId="77777777" w:rsidR="006A390B" w:rsidRDefault="002B42D5">
      <w:pPr>
        <w:rPr>
          <w:sz w:val="48"/>
          <w:szCs w:val="48"/>
        </w:rPr>
      </w:pPr>
      <w:r>
        <w:rPr>
          <w:sz w:val="48"/>
          <w:szCs w:val="48"/>
        </w:rPr>
        <w:t xml:space="preserve">Tay Jeong             </w:t>
      </w:r>
    </w:p>
    <w:p w14:paraId="7BA9B7FD" w14:textId="77777777" w:rsidR="006A390B" w:rsidRPr="00CA00AF" w:rsidRDefault="002E210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sz w:val="22"/>
          <w:szCs w:val="22"/>
        </w:rPr>
        <w:t xml:space="preserve">Email: </w:t>
      </w:r>
      <w:r w:rsidRPr="00CA00AF">
        <w:rPr>
          <w:rFonts w:hint="eastAsia"/>
          <w:sz w:val="22"/>
          <w:szCs w:val="22"/>
          <w:lang w:eastAsia="ko-KR"/>
        </w:rPr>
        <w:t xml:space="preserve"> </w:t>
      </w:r>
      <w:hyperlink r:id="rId8" w:history="1">
        <w:r w:rsidRPr="00CA00AF">
          <w:rPr>
            <w:rStyle w:val="Hyperlink"/>
            <w:rFonts w:hint="eastAsia"/>
            <w:sz w:val="22"/>
            <w:szCs w:val="22"/>
            <w:lang w:eastAsia="ko-KR"/>
          </w:rPr>
          <w:t>t</w:t>
        </w:r>
        <w:r w:rsidRPr="00CA00AF">
          <w:rPr>
            <w:rStyle w:val="Hyperlink"/>
            <w:sz w:val="22"/>
            <w:szCs w:val="22"/>
            <w:lang w:eastAsia="ko-KR"/>
          </w:rPr>
          <w:t>ay.jeong@mail.mcgill.ca</w:t>
        </w:r>
      </w:hyperlink>
      <w:r w:rsidRPr="00CA00AF">
        <w:rPr>
          <w:sz w:val="22"/>
          <w:szCs w:val="22"/>
          <w:lang w:eastAsia="ko-KR"/>
        </w:rPr>
        <w:t xml:space="preserve"> </w:t>
      </w:r>
    </w:p>
    <w:p w14:paraId="39044F9C" w14:textId="77777777" w:rsidR="006A390B" w:rsidRPr="00CA00AF" w:rsidRDefault="002E2105">
      <w:pPr>
        <w:jc w:val="right"/>
        <w:rPr>
          <w:color w:val="000000"/>
          <w:sz w:val="22"/>
          <w:szCs w:val="22"/>
        </w:rPr>
      </w:pPr>
      <w:r w:rsidRPr="00CA00AF">
        <w:rPr>
          <w:color w:val="000000"/>
          <w:sz w:val="22"/>
          <w:szCs w:val="22"/>
        </w:rPr>
        <w:t xml:space="preserve">Personal website: </w:t>
      </w:r>
      <w:hyperlink r:id="rId9" w:history="1">
        <w:r w:rsidRPr="00CA00AF">
          <w:rPr>
            <w:rStyle w:val="Hyperlink"/>
            <w:sz w:val="22"/>
            <w:szCs w:val="22"/>
          </w:rPr>
          <w:t>https://tayjeong.com</w:t>
        </w:r>
      </w:hyperlink>
      <w:r w:rsidRPr="00CA00AF">
        <w:rPr>
          <w:color w:val="000000"/>
          <w:sz w:val="22"/>
          <w:szCs w:val="22"/>
        </w:rPr>
        <w:t xml:space="preserve"> </w:t>
      </w:r>
    </w:p>
    <w:p w14:paraId="756EE052" w14:textId="77777777" w:rsidR="002637C5" w:rsidRPr="00CA00AF" w:rsidRDefault="002637C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color w:val="000000"/>
          <w:sz w:val="22"/>
          <w:szCs w:val="22"/>
        </w:rPr>
        <w:t>Citizenship: Canadian</w:t>
      </w:r>
    </w:p>
    <w:p w14:paraId="39A0A306" w14:textId="6FE70623" w:rsidR="006A390B" w:rsidRDefault="002B42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2018.09 – 2023.</w:t>
      </w:r>
      <w:r w:rsidR="00DB2BFC">
        <w:rPr>
          <w:sz w:val="24"/>
          <w:szCs w:val="24"/>
        </w:rPr>
        <w:t>10</w:t>
      </w:r>
    </w:p>
    <w:p w14:paraId="629AF31F" w14:textId="5B23FE82" w:rsidR="006A390B" w:rsidRDefault="002B42D5">
      <w:p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Ph.D. Sociology, McGill University</w:t>
      </w:r>
    </w:p>
    <w:p w14:paraId="6D6DD336" w14:textId="77777777" w:rsidR="006A390B" w:rsidRDefault="002B42D5">
      <w:p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Research areas: Sociology of Knowledge, Historical Sociology, Sociological Research Methods, Social Determinants of Mental Health.</w:t>
      </w:r>
    </w:p>
    <w:p w14:paraId="294CAE7D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Publications</w:t>
      </w:r>
    </w:p>
    <w:tbl>
      <w:tblPr>
        <w:tblStyle w:val="a"/>
        <w:tblW w:w="9026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6A390B" w14:paraId="31FFDE06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left w:val="nil"/>
              <w:bottom w:val="nil"/>
              <w:right w:val="nil"/>
            </w:tcBorders>
          </w:tcPr>
          <w:p w14:paraId="7DCEAC3A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2024. “Epistemic diversity and epistemic advantage: A comparison of two causal theories in feminist epistemology.” </w:t>
            </w:r>
            <w:r>
              <w:rPr>
                <w:b w:val="0"/>
                <w:i/>
                <w:sz w:val="24"/>
                <w:szCs w:val="24"/>
              </w:rPr>
              <w:t>Hypatia: A Journal of Feminist Philosophy</w:t>
            </w:r>
            <w:r>
              <w:rPr>
                <w:b w:val="0"/>
                <w:sz w:val="24"/>
                <w:szCs w:val="24"/>
              </w:rPr>
              <w:t xml:space="preserve"> 39(1) (forthcoming).</w:t>
            </w:r>
          </w:p>
          <w:p w14:paraId="6775FA62" w14:textId="2A3B55E2" w:rsidR="00F15971" w:rsidRDefault="00F15971" w:rsidP="00F15971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 w:rsidRPr="00F15971">
              <w:rPr>
                <w:b w:val="0"/>
                <w:bCs/>
                <w:sz w:val="24"/>
                <w:szCs w:val="24"/>
              </w:rPr>
              <w:t>202</w:t>
            </w:r>
            <w:r>
              <w:rPr>
                <w:b w:val="0"/>
                <w:bCs/>
                <w:sz w:val="24"/>
                <w:szCs w:val="24"/>
              </w:rPr>
              <w:t>3</w:t>
            </w:r>
            <w:r w:rsidRPr="00F15971">
              <w:rPr>
                <w:b w:val="0"/>
                <w:b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F15971">
              <w:rPr>
                <w:b w:val="0"/>
                <w:bCs/>
                <w:sz w:val="24"/>
                <w:szCs w:val="24"/>
              </w:rPr>
              <w:t xml:space="preserve">“Family economic status and vulnerability to suicidal ideation in the face of bullying: A test of recent findings.” </w:t>
            </w:r>
            <w:r w:rsidRPr="00F15971">
              <w:rPr>
                <w:b w:val="0"/>
                <w:bCs/>
                <w:i/>
                <w:sz w:val="24"/>
                <w:szCs w:val="24"/>
              </w:rPr>
              <w:t>Child Abuse and Neglect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(forthcoming).</w:t>
            </w:r>
          </w:p>
          <w:p w14:paraId="7CB21D76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Jeong, C. 2023. “Ethnic empowering policies and postcolonial political exclusion in the British Empire: An analysis of ethnic police recruitment and communal legislative representation.”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>, online first, 1-20. [</w:t>
            </w:r>
            <w:hyperlink r:id="rId10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>].</w:t>
            </w:r>
          </w:p>
          <w:p w14:paraId="58212363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2023. “A History of Resistance.” </w:t>
            </w:r>
            <w:r>
              <w:rPr>
                <w:b w:val="0"/>
                <w:i/>
                <w:sz w:val="24"/>
                <w:szCs w:val="24"/>
              </w:rPr>
              <w:t>Korea Journal</w:t>
            </w:r>
            <w:r>
              <w:rPr>
                <w:b w:val="0"/>
                <w:sz w:val="24"/>
                <w:szCs w:val="24"/>
              </w:rPr>
              <w:t xml:space="preserve"> 63(2), 267-276. </w:t>
            </w:r>
          </w:p>
          <w:p w14:paraId="0A577FFC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2023. “Community-based legislative representation and postcolonial ethnic civil warfare in former British and French colonies.”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29(1), 311-330. [</w:t>
            </w:r>
            <w:hyperlink r:id="rId11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>].</w:t>
            </w:r>
          </w:p>
          <w:p w14:paraId="59D5930E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“Contextual fallacy in MLMs with cross-level interaction: A critical review of neighborhood contextual effects on psychiatric resilience.” </w:t>
            </w:r>
            <w:r>
              <w:rPr>
                <w:b w:val="0"/>
                <w:i/>
                <w:sz w:val="24"/>
                <w:szCs w:val="24"/>
              </w:rPr>
              <w:t>Social Science and Medicine</w:t>
            </w:r>
            <w:r>
              <w:rPr>
                <w:b w:val="0"/>
                <w:sz w:val="24"/>
                <w:szCs w:val="24"/>
              </w:rPr>
              <w:t xml:space="preserve"> 310.</w:t>
            </w:r>
          </w:p>
          <w:p w14:paraId="717755E0" w14:textId="77777777" w:rsidR="006A390B" w:rsidRDefault="002B42D5">
            <w:pPr>
              <w:ind w:left="720" w:hanging="72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Van den Berg, A.,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“Cutting off the branch on which we are sitting? On </w:t>
            </w:r>
            <w:proofErr w:type="spellStart"/>
            <w:r>
              <w:rPr>
                <w:b w:val="0"/>
                <w:sz w:val="24"/>
                <w:szCs w:val="24"/>
              </w:rPr>
              <w:t>postpositivism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value neutrality and the ‘bias paradox’,” </w:t>
            </w:r>
            <w:r>
              <w:rPr>
                <w:b w:val="0"/>
                <w:i/>
                <w:sz w:val="24"/>
                <w:szCs w:val="24"/>
              </w:rPr>
              <w:t xml:space="preserve">Society </w:t>
            </w:r>
            <w:r>
              <w:rPr>
                <w:b w:val="0"/>
                <w:sz w:val="24"/>
                <w:szCs w:val="24"/>
              </w:rPr>
              <w:t>59, 631-647.</w:t>
            </w:r>
          </w:p>
          <w:p w14:paraId="0A2671C2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Gaudreau, C. 2022. “A tale of two empires: Models of political community in British and French colonies,”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28(3), 972-989.</w:t>
            </w:r>
          </w:p>
          <w:p w14:paraId="7FE6CADB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Amasyali, E.,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2021. “Communalizing colonial policies and postcolonial ethnic warfare: A multimethod analysis of the British Empire,” </w:t>
            </w:r>
            <w:r>
              <w:rPr>
                <w:b w:val="0"/>
                <w:i/>
                <w:sz w:val="24"/>
                <w:szCs w:val="24"/>
              </w:rPr>
              <w:t xml:space="preserve">European Journal of Sociology </w:t>
            </w:r>
            <w:r>
              <w:rPr>
                <w:b w:val="0"/>
                <w:sz w:val="24"/>
                <w:szCs w:val="24"/>
              </w:rPr>
              <w:t>62(3), 337-379.</w:t>
            </w:r>
          </w:p>
          <w:p w14:paraId="54013A47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Amasyali, E. 2021. “The colonial origins of ethnic warfare: Re-examining the impact of communalizing colonial policies in the British and French Empires,” </w:t>
            </w:r>
            <w:r>
              <w:rPr>
                <w:b w:val="0"/>
                <w:i/>
                <w:sz w:val="24"/>
                <w:szCs w:val="24"/>
              </w:rPr>
              <w:t>International Journal of Comparative Sociology</w:t>
            </w:r>
            <w:r>
              <w:rPr>
                <w:b w:val="0"/>
                <w:sz w:val="24"/>
                <w:szCs w:val="24"/>
              </w:rPr>
              <w:t xml:space="preserve"> 62(2), 141-165.</w:t>
            </w:r>
          </w:p>
          <w:p w14:paraId="4E25A669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 “Do more stress and lower family economic status increase vulnerability to suicidal ideation? Evidence of a U-shaped relationship in a large cross-sectional sample of South Korean adolescents,”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PloS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one</w:t>
            </w:r>
            <w:r>
              <w:rPr>
                <w:b w:val="0"/>
                <w:sz w:val="24"/>
                <w:szCs w:val="24"/>
              </w:rPr>
              <w:t xml:space="preserve"> 16(4). e0250794.</w:t>
            </w:r>
          </w:p>
          <w:p w14:paraId="156DE436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Jeong, C. 2019. “Did the US guarantee the ‘regime’ of North Korea? A study of systematic citation errors in South Korean news media,” </w:t>
            </w:r>
            <w:sdt>
              <w:sdtPr>
                <w:tag w:val="goog_rdk_0"/>
                <w:id w:val="1602216897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b w:val="0"/>
                  </w:rPr>
                  <w:t>경제와</w:t>
                </w:r>
                <w:proofErr w:type="spellEnd"/>
                <w:r>
                  <w:rPr>
                    <w:rFonts w:ascii="Gungsuh" w:eastAsia="Gungsuh" w:hAnsi="Gungsuh" w:cs="Gungsuh"/>
                    <w:b w:val="0"/>
                  </w:rPr>
                  <w:t xml:space="preserve"> </w:t>
                </w:r>
                <w:proofErr w:type="spellStart"/>
                <w:r>
                  <w:rPr>
                    <w:rFonts w:ascii="Gungsuh" w:eastAsia="Gungsuh" w:hAnsi="Gungsuh" w:cs="Gungsuh"/>
                    <w:b w:val="0"/>
                  </w:rPr>
                  <w:t>사회</w:t>
                </w:r>
                <w:proofErr w:type="spellEnd"/>
                <w:r>
                  <w:rPr>
                    <w:rFonts w:ascii="Gungsuh" w:eastAsia="Gungsuh" w:hAnsi="Gungsuh" w:cs="Gungsuh"/>
                    <w:b w:val="0"/>
                  </w:rPr>
                  <w:t xml:space="preserve"> </w:t>
                </w:r>
              </w:sdtContent>
            </w:sdt>
            <w:r>
              <w:rPr>
                <w:b w:val="0"/>
                <w:i/>
                <w:sz w:val="24"/>
                <w:szCs w:val="24"/>
              </w:rPr>
              <w:t>Economy and Society</w:t>
            </w:r>
            <w:r>
              <w:rPr>
                <w:b w:val="0"/>
                <w:sz w:val="24"/>
                <w:szCs w:val="24"/>
              </w:rPr>
              <w:t xml:space="preserve"> 124. 192-220. [Published in Korean].</w:t>
            </w:r>
          </w:p>
          <w:p w14:paraId="33D8ABD5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2019. “A conceptual appendix to ‘The politics of historical knowledge’,”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53(2), 309-324.</w:t>
            </w:r>
          </w:p>
          <w:p w14:paraId="1A44D768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2018. “A critique of criticizing ‘pseudohistory’,” </w:t>
            </w:r>
            <w:sdt>
              <w:sdtPr>
                <w:tag w:val="goog_rdk_1"/>
                <w:id w:val="-610281989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b w:val="0"/>
                  </w:rPr>
                  <w:t>역사비평</w:t>
                </w:r>
                <w:proofErr w:type="spellEnd"/>
              </w:sdtContent>
            </w:sdt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>Critical Review of History</w:t>
            </w:r>
            <w:r>
              <w:rPr>
                <w:b w:val="0"/>
                <w:sz w:val="24"/>
                <w:szCs w:val="24"/>
              </w:rPr>
              <w:t xml:space="preserve"> 124, 438-469. [Published in Korean].</w:t>
            </w:r>
          </w:p>
          <w:p w14:paraId="5E088021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Jeong, T.</w:t>
            </w:r>
            <w:r>
              <w:rPr>
                <w:b w:val="0"/>
                <w:sz w:val="24"/>
                <w:szCs w:val="24"/>
              </w:rPr>
              <w:t xml:space="preserve"> 2018. “The politics of historical knowledge: The debate on the historical geography of Old </w:t>
            </w:r>
            <w:proofErr w:type="spellStart"/>
            <w:r>
              <w:rPr>
                <w:b w:val="0"/>
                <w:sz w:val="24"/>
                <w:szCs w:val="24"/>
              </w:rPr>
              <w:t>Chosŏn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and </w:t>
            </w:r>
            <w:proofErr w:type="spellStart"/>
            <w:r>
              <w:rPr>
                <w:b w:val="0"/>
                <w:sz w:val="24"/>
                <w:szCs w:val="24"/>
              </w:rPr>
              <w:t>Lelang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Commandery,”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52(1), 43-82.</w:t>
            </w:r>
          </w:p>
          <w:p w14:paraId="0728598B" w14:textId="77777777" w:rsidR="006A390B" w:rsidRDefault="002B42D5">
            <w:pPr>
              <w:spacing w:after="240"/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2017. “Korean Living Standards under Japanese Colonial Rule: A Critical Review of the Longitudinal Trajectory of Stature,” </w:t>
            </w:r>
            <w:r>
              <w:rPr>
                <w:b w:val="0"/>
                <w:i/>
                <w:sz w:val="24"/>
                <w:szCs w:val="24"/>
              </w:rPr>
              <w:t>Review of Korean Studies</w:t>
            </w:r>
            <w:r>
              <w:rPr>
                <w:b w:val="0"/>
                <w:sz w:val="24"/>
                <w:szCs w:val="24"/>
              </w:rPr>
              <w:t xml:space="preserve"> 20(2), 145-74</w:t>
            </w:r>
          </w:p>
        </w:tc>
      </w:tr>
    </w:tbl>
    <w:p w14:paraId="3FF54C52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Works under peer-review</w:t>
      </w:r>
    </w:p>
    <w:p w14:paraId="407DABD9" w14:textId="77777777" w:rsidR="006A390B" w:rsidRDefault="002B42D5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“Process- and contrastive explanation in history and comparative history: Implications for the use of historical counterfactuals.” R&amp;R at</w:t>
      </w:r>
      <w:r>
        <w:rPr>
          <w:i/>
          <w:sz w:val="24"/>
          <w:szCs w:val="24"/>
        </w:rPr>
        <w:t xml:space="preserve"> Sociological Methods and Research</w:t>
      </w:r>
      <w:r>
        <w:rPr>
          <w:sz w:val="24"/>
          <w:szCs w:val="24"/>
        </w:rPr>
        <w:t>.</w:t>
      </w:r>
    </w:p>
    <w:p w14:paraId="348BAC26" w14:textId="5EEA0685" w:rsidR="006A390B" w:rsidRDefault="002B42D5">
      <w:pPr>
        <w:spacing w:after="240"/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and </w:t>
      </w: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“Fighting Over Nation or State: An Analysis of Communal Demography, Historical Institutions, and the Type of Ethnic Warfare.” Under peer review at </w:t>
      </w:r>
      <w:r w:rsidR="00366DB9">
        <w:rPr>
          <w:i/>
          <w:sz w:val="24"/>
          <w:szCs w:val="24"/>
        </w:rPr>
        <w:t>Mobilization</w:t>
      </w:r>
      <w:r>
        <w:rPr>
          <w:sz w:val="24"/>
          <w:szCs w:val="24"/>
        </w:rPr>
        <w:t>.</w:t>
      </w:r>
    </w:p>
    <w:p w14:paraId="6D580C36" w14:textId="77777777" w:rsidR="006A390B" w:rsidRDefault="00CA00AF">
      <w:pPr>
        <w:spacing w:after="240"/>
        <w:ind w:left="806" w:hanging="806"/>
        <w:rPr>
          <w:sz w:val="22"/>
          <w:szCs w:val="22"/>
        </w:rPr>
      </w:pPr>
      <w:r>
        <w:rPr>
          <w:sz w:val="22"/>
          <w:szCs w:val="22"/>
        </w:rPr>
        <w:t>*</w:t>
      </w:r>
      <w:r w:rsidR="002B42D5">
        <w:rPr>
          <w:sz w:val="22"/>
          <w:szCs w:val="22"/>
        </w:rPr>
        <w:t>Note: All first-authored research articles published or under review containing quantitative data analysis are open-data unless prohibited by law or contract and in all cases open-</w:t>
      </w:r>
      <w:r w:rsidR="00DB60BC">
        <w:rPr>
          <w:sz w:val="22"/>
          <w:szCs w:val="22"/>
        </w:rPr>
        <w:t>code</w:t>
      </w:r>
      <w:r w:rsidR="002B42D5">
        <w:rPr>
          <w:sz w:val="22"/>
          <w:szCs w:val="22"/>
        </w:rPr>
        <w:t>.</w:t>
      </w:r>
    </w:p>
    <w:p w14:paraId="65D96EB9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writings and presentations</w:t>
      </w:r>
    </w:p>
    <w:p w14:paraId="617999D4" w14:textId="77777777" w:rsidR="006A390B" w:rsidRDefault="002B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Conference Presentations</w:t>
      </w:r>
    </w:p>
    <w:p w14:paraId="110F4611" w14:textId="77777777" w:rsidR="006A390B" w:rsidRDefault="002B42D5">
      <w:pPr>
        <w:ind w:left="806" w:hanging="80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Jeong, T. </w:t>
      </w:r>
      <w:r>
        <w:rPr>
          <w:sz w:val="24"/>
          <w:szCs w:val="24"/>
        </w:rPr>
        <w:t xml:space="preserve">2023. “Arms control and disarmament in an era of great power transition.” Presented in </w:t>
      </w:r>
      <w:r>
        <w:rPr>
          <w:i/>
          <w:sz w:val="24"/>
          <w:szCs w:val="24"/>
        </w:rPr>
        <w:t>Graduate Research Awards for Nonproliferation, Arms Control &amp; Disarmament</w:t>
      </w:r>
      <w:r>
        <w:rPr>
          <w:sz w:val="24"/>
          <w:szCs w:val="24"/>
        </w:rPr>
        <w:t>, jointly hosted by Global Affairs Canada and Simons Foundation Canada. GAC Headquarters, Ottawa, June 29, 2023.</w:t>
      </w:r>
    </w:p>
    <w:p w14:paraId="11FFAACF" w14:textId="77777777" w:rsidR="006A390B" w:rsidRDefault="002B42D5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“Stress inoculation and suicidal ideation.” Presented at </w:t>
      </w:r>
      <w:r>
        <w:rPr>
          <w:i/>
          <w:sz w:val="24"/>
          <w:szCs w:val="24"/>
        </w:rPr>
        <w:t>Kangwon Institute for Unification Studies – Regional Innovation System Conference</w:t>
      </w:r>
      <w:r>
        <w:rPr>
          <w:sz w:val="24"/>
          <w:szCs w:val="24"/>
        </w:rPr>
        <w:t>, Chuncheon, South Korea. Nov. 22, 2022.</w:t>
      </w:r>
    </w:p>
    <w:p w14:paraId="18487642" w14:textId="77777777" w:rsidR="006A390B" w:rsidRDefault="002B42D5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“agnotological” trends in sociological criticisms of scientific dissent.” Presented at </w:t>
      </w:r>
      <w:r>
        <w:rPr>
          <w:i/>
          <w:sz w:val="24"/>
          <w:szCs w:val="24"/>
        </w:rPr>
        <w:t>Science Wars: A loss of Faith in Science</w:t>
      </w:r>
      <w:r>
        <w:rPr>
          <w:sz w:val="24"/>
          <w:szCs w:val="24"/>
        </w:rPr>
        <w:t>, Bishop’s University, Sherbrooke, QC. Oct 19, 2018.</w:t>
      </w:r>
    </w:p>
    <w:p w14:paraId="2EED7827" w14:textId="77777777" w:rsidR="006A390B" w:rsidRDefault="002B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Journalistic Op-eds / Analysis</w:t>
      </w:r>
    </w:p>
    <w:p w14:paraId="67273028" w14:textId="77777777" w:rsidR="006A390B" w:rsidRDefault="002B42D5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“Why we should be wary of claims that North Korean satellite was a ‘paper doll.'” </w:t>
      </w:r>
      <w:r>
        <w:rPr>
          <w:i/>
          <w:sz w:val="24"/>
          <w:szCs w:val="24"/>
        </w:rPr>
        <w:t>NK News</w:t>
      </w:r>
      <w:r>
        <w:rPr>
          <w:sz w:val="24"/>
          <w:szCs w:val="24"/>
        </w:rPr>
        <w:t>, July 20, 2023. [</w:t>
      </w:r>
      <w:hyperlink r:id="rId12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656F4D04" w14:textId="77777777" w:rsidR="006A390B" w:rsidRDefault="002B42D5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“Did North Korea really fake an ICBM test in March?”</w:t>
      </w:r>
      <w:r>
        <w:rPr>
          <w:i/>
          <w:sz w:val="24"/>
          <w:szCs w:val="24"/>
        </w:rPr>
        <w:t xml:space="preserve"> The Diplomat </w:t>
      </w:r>
      <w:r>
        <w:rPr>
          <w:sz w:val="24"/>
          <w:szCs w:val="24"/>
        </w:rPr>
        <w:t>98 (Jan. 2023 magazine issue)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(Dec.14, 2022 website cover story). [</w:t>
      </w:r>
      <w:hyperlink r:id="rId13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79EA6E2A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Scholarships, Awards, and Nominations</w:t>
      </w:r>
    </w:p>
    <w:p w14:paraId="319127B0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2023</w:t>
      </w:r>
    </w:p>
    <w:p w14:paraId="4524570B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Winner of Graduate Research Awards for Disarmament, Arms Control, and Non-Proliferation, jointly offered by Global Affairs Canada (GAC) and Simons Foundation Canada.</w:t>
      </w:r>
    </w:p>
    <w:p w14:paraId="1E2C2361" w14:textId="77777777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In the award ceremony, I gave a 30-minute presentation to high-profile Canadian diplomats at the GAC headquarters in Ottawa about current Canadian policy on global arms control and disarmament. The article that I submitted to the competition is currently being prepared for online publication at the Simons Foundation Canada website.</w:t>
      </w:r>
    </w:p>
    <w:p w14:paraId="1E5606AC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C$5000</w:t>
      </w:r>
    </w:p>
    <w:p w14:paraId="234E3941" w14:textId="386F6249" w:rsidR="0009511F" w:rsidRPr="0009511F" w:rsidRDefault="0009511F" w:rsidP="0009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McGill University nominee for the 2023 </w:t>
      </w:r>
      <w:r>
        <w:rPr>
          <w:rFonts w:eastAsia="Times New Roman"/>
          <w:color w:val="000000"/>
          <w:sz w:val="24"/>
          <w:szCs w:val="24"/>
        </w:rPr>
        <w:t xml:space="preserve">Social Sciences and Humanities </w:t>
      </w:r>
      <w:r w:rsidR="004D6FBC">
        <w:rPr>
          <w:rFonts w:eastAsia="Times New Roman"/>
          <w:color w:val="000000"/>
          <w:sz w:val="24"/>
          <w:szCs w:val="24"/>
        </w:rPr>
        <w:t xml:space="preserve">Research </w:t>
      </w:r>
      <w:r>
        <w:rPr>
          <w:rFonts w:eastAsia="Times New Roman"/>
          <w:color w:val="000000"/>
          <w:sz w:val="24"/>
          <w:szCs w:val="24"/>
        </w:rPr>
        <w:t>Council of Canada (SSHRC)</w:t>
      </w:r>
      <w:r>
        <w:rPr>
          <w:rFonts w:eastAsia="Times New Roman"/>
          <w:color w:val="000000"/>
          <w:sz w:val="24"/>
          <w:szCs w:val="24"/>
        </w:rPr>
        <w:t xml:space="preserve"> Talent Award</w:t>
      </w:r>
      <w:r w:rsidR="00C134D7">
        <w:rPr>
          <w:rFonts w:eastAsia="Times New Roman"/>
          <w:color w:val="000000"/>
          <w:sz w:val="24"/>
          <w:szCs w:val="24"/>
        </w:rPr>
        <w:t>, a C$50,000 award</w:t>
      </w:r>
      <w:r w:rsidR="00135EAD">
        <w:rPr>
          <w:rFonts w:eastAsia="Times New Roman"/>
          <w:color w:val="000000"/>
          <w:sz w:val="24"/>
          <w:szCs w:val="24"/>
        </w:rPr>
        <w:t xml:space="preserve"> annually</w:t>
      </w:r>
      <w:r w:rsidR="00C134D7">
        <w:rPr>
          <w:rFonts w:eastAsia="Times New Roman"/>
          <w:color w:val="000000"/>
          <w:sz w:val="24"/>
          <w:szCs w:val="24"/>
        </w:rPr>
        <w:t xml:space="preserve"> given to one doctoral or postdoctoral researcher in the humanities and social sciences.</w:t>
      </w:r>
    </w:p>
    <w:p w14:paraId="5B8A7C1D" w14:textId="77777777" w:rsidR="0009511F" w:rsidRDefault="0009511F" w:rsidP="000951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</w:p>
    <w:p w14:paraId="654AC46E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05EA8E6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student anti-black racism research award, McGill University</w:t>
      </w:r>
    </w:p>
    <w:p w14:paraId="4A823979" w14:textId="28732169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 received this award in recognition of my theoretical contributions to the benefits of minority inclusion (article forthcoming in </w:t>
      </w:r>
      <w:r>
        <w:rPr>
          <w:rFonts w:eastAsia="Times New Roman"/>
          <w:i/>
          <w:color w:val="000000"/>
          <w:sz w:val="24"/>
          <w:szCs w:val="24"/>
        </w:rPr>
        <w:t>Hypatia</w:t>
      </w:r>
      <w:r>
        <w:rPr>
          <w:rFonts w:eastAsia="Times New Roman"/>
          <w:color w:val="000000"/>
          <w:sz w:val="24"/>
          <w:szCs w:val="24"/>
        </w:rPr>
        <w:t>) and my plans to apply my theory to the problem of the underrepresentation of people of African heritage in academia.</w:t>
      </w:r>
    </w:p>
    <w:p w14:paraId="00E3C076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C$2000</w:t>
      </w:r>
    </w:p>
    <w:p w14:paraId="3C5B272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Everett C. Hughes Research Graduate Award, McGill University department of sociology. “Annually given to the student with the best research record in the department.” </w:t>
      </w:r>
    </w:p>
    <w:p w14:paraId="0FF9535E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C$100</w:t>
      </w:r>
    </w:p>
    <w:p w14:paraId="6B00006F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2021</w:t>
      </w:r>
    </w:p>
    <w:p w14:paraId="7A1D8082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Excellence Award, McGill University</w:t>
      </w:r>
    </w:p>
    <w:p w14:paraId="58D7E181" w14:textId="77777777" w:rsidR="006A390B" w:rsidRDefault="002B42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C$1,000</w:t>
      </w:r>
    </w:p>
    <w:p w14:paraId="6CF2E974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2020</w:t>
      </w:r>
    </w:p>
    <w:p w14:paraId="3DF2EDF1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Graduate Award Program, McGill Institute of </w:t>
      </w:r>
      <w:proofErr w:type="gramStart"/>
      <w:r>
        <w:rPr>
          <w:rFonts w:eastAsia="Times New Roman"/>
          <w:color w:val="000000"/>
          <w:sz w:val="24"/>
          <w:szCs w:val="24"/>
        </w:rPr>
        <w:t>Health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and Social Policy</w:t>
      </w:r>
    </w:p>
    <w:p w14:paraId="2B9F187C" w14:textId="7A343F1A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</w:t>
      </w:r>
      <w:r w:rsidR="00231760"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z w:val="24"/>
          <w:szCs w:val="24"/>
        </w:rPr>
        <w:t xml:space="preserve"> a two-semester training program offering hands-on-experience </w:t>
      </w:r>
      <w:r w:rsidR="002640C5"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z w:val="24"/>
          <w:szCs w:val="24"/>
        </w:rPr>
        <w:t xml:space="preserve"> communicating the results of graduate students’ health research to policymakers</w:t>
      </w:r>
      <w:r w:rsidR="007011A5">
        <w:rPr>
          <w:rFonts w:eastAsia="Times New Roman"/>
          <w:color w:val="000000"/>
          <w:sz w:val="24"/>
          <w:szCs w:val="24"/>
        </w:rPr>
        <w:t>.</w:t>
      </w:r>
    </w:p>
    <w:p w14:paraId="117B1009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C$4,000</w:t>
      </w:r>
    </w:p>
    <w:p w14:paraId="3922EB95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Joseph-Armand-Bombardier Canada Graduate Scholarship</w:t>
      </w:r>
    </w:p>
    <w:p w14:paraId="0BB48375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C$105,000 (disbursed over three years)</w:t>
      </w:r>
    </w:p>
    <w:p w14:paraId="2723C831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2019</w:t>
      </w:r>
    </w:p>
    <w:p w14:paraId="22C3CB7B" w14:textId="77777777" w:rsidR="006A390B" w:rsidRPr="00F704DA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fr-CA"/>
        </w:rPr>
      </w:pPr>
      <w:r w:rsidRPr="00F704DA">
        <w:rPr>
          <w:rFonts w:eastAsia="Times New Roman"/>
          <w:color w:val="000000"/>
          <w:sz w:val="24"/>
          <w:szCs w:val="24"/>
          <w:lang w:val="fr-CA"/>
        </w:rPr>
        <w:t xml:space="preserve">Fonds de Recherche du Québec (FRQ) doctoral </w:t>
      </w:r>
      <w:proofErr w:type="spellStart"/>
      <w:r w:rsidRPr="00F704DA">
        <w:rPr>
          <w:rFonts w:eastAsia="Times New Roman"/>
          <w:color w:val="000000"/>
          <w:sz w:val="24"/>
          <w:szCs w:val="24"/>
          <w:lang w:val="fr-CA"/>
        </w:rPr>
        <w:t>scholarship</w:t>
      </w:r>
      <w:proofErr w:type="spellEnd"/>
    </w:p>
    <w:p w14:paraId="4C61F2B1" w14:textId="77777777" w:rsidR="006A390B" w:rsidRDefault="002B42D5">
      <w:pPr>
        <w:spacing w:line="276" w:lineRule="auto"/>
        <w:ind w:left="720" w:firstLine="80"/>
        <w:rPr>
          <w:sz w:val="24"/>
          <w:szCs w:val="24"/>
        </w:rPr>
      </w:pPr>
      <w:r>
        <w:rPr>
          <w:sz w:val="24"/>
          <w:szCs w:val="24"/>
        </w:rPr>
        <w:t>C$21,000 per annum (discontinued after one year due to receipt of Canada Graduate Scholarship).</w:t>
      </w:r>
    </w:p>
    <w:p w14:paraId="64A8554D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Excellence Award, McGill University</w:t>
      </w:r>
    </w:p>
    <w:p w14:paraId="28DD657B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C$1500</w:t>
      </w:r>
    </w:p>
    <w:p w14:paraId="508AF8D9" w14:textId="77777777" w:rsidR="006A390B" w:rsidRDefault="002B42D5">
      <w:p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2018</w:t>
      </w:r>
    </w:p>
    <w:p w14:paraId="7E797C83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McCall MacBain Scholarship</w:t>
      </w:r>
    </w:p>
    <w:p w14:paraId="15AAAC12" w14:textId="77777777" w:rsidR="006A390B" w:rsidRDefault="002B42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C$6500</w:t>
      </w:r>
    </w:p>
    <w:p w14:paraId="4F97F96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Excellence Award, McGill University</w:t>
      </w:r>
    </w:p>
    <w:p w14:paraId="14475CC7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C$441</w:t>
      </w:r>
    </w:p>
    <w:p w14:paraId="10BF03E8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Sociology Graduate Award, McGill University.</w:t>
      </w:r>
    </w:p>
    <w:p w14:paraId="0B0584F2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C$325</w:t>
      </w:r>
    </w:p>
    <w:p w14:paraId="6DC9EB16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2010-2013</w:t>
      </w:r>
    </w:p>
    <w:p w14:paraId="764CAD8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Merit-based entrance scholarship, University of Hong Kong</w:t>
      </w:r>
    </w:p>
    <w:p w14:paraId="76A98AF9" w14:textId="77777777" w:rsidR="006A390B" w:rsidRDefault="00001793" w:rsidP="00681BC8">
      <w:pPr>
        <w:spacing w:line="276" w:lineRule="auto"/>
        <w:ind w:left="720"/>
        <w:rPr>
          <w:sz w:val="28"/>
          <w:szCs w:val="28"/>
        </w:rPr>
      </w:pPr>
      <w:r>
        <w:rPr>
          <w:sz w:val="24"/>
          <w:szCs w:val="24"/>
        </w:rPr>
        <w:t>HK$20,000 per annum</w:t>
      </w:r>
      <w:r w:rsidR="00681BC8">
        <w:rPr>
          <w:sz w:val="24"/>
          <w:szCs w:val="24"/>
        </w:rPr>
        <w:t xml:space="preserve"> for three years (received for two years due to one year of </w:t>
      </w:r>
      <w:r w:rsidR="006A4958">
        <w:rPr>
          <w:sz w:val="24"/>
          <w:szCs w:val="24"/>
        </w:rPr>
        <w:t>visiting study at the University of Zurich</w:t>
      </w:r>
      <w:r w:rsidR="00681BC8">
        <w:rPr>
          <w:sz w:val="24"/>
          <w:szCs w:val="24"/>
        </w:rPr>
        <w:t>).</w:t>
      </w:r>
    </w:p>
    <w:p w14:paraId="6145738F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Education</w:t>
      </w:r>
    </w:p>
    <w:tbl>
      <w:tblPr>
        <w:tblStyle w:val="a1"/>
        <w:tblW w:w="949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238"/>
      </w:tblGrid>
      <w:tr w:rsidR="006A390B" w14:paraId="7DCB56A0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/>
              <w:left w:val="nil"/>
            </w:tcBorders>
          </w:tcPr>
          <w:p w14:paraId="406F0D9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2018 - </w:t>
            </w:r>
          </w:p>
          <w:p w14:paraId="7F692F1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8238" w:type="dxa"/>
            <w:tcBorders>
              <w:top w:val="single" w:sz="4" w:space="0" w:color="7F7F7F"/>
              <w:right w:val="nil"/>
            </w:tcBorders>
          </w:tcPr>
          <w:p w14:paraId="0141AD3B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University, Ph.D. Sociology</w:t>
            </w:r>
          </w:p>
          <w:p w14:paraId="4F9F5260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 w:val="0"/>
                <w:sz w:val="24"/>
                <w:szCs w:val="24"/>
              </w:rPr>
              <w:t>GPA: 3.95 out of 4.0</w:t>
            </w:r>
          </w:p>
          <w:p w14:paraId="2E281195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Doctoral advisor: Prof. Eran Shor</w:t>
            </w:r>
          </w:p>
          <w:p w14:paraId="523744DD" w14:textId="77777777" w:rsidR="006A390B" w:rsidRDefault="002B42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Area Exams: </w:t>
            </w:r>
          </w:p>
          <w:p w14:paraId="2D59B3EB" w14:textId="77777777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Sociology of Knowledge (committee chair Prof. Peter McMahan).</w:t>
            </w:r>
          </w:p>
          <w:p w14:paraId="65580BD8" w14:textId="77777777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Political Sociology (committee chair Prof. Barry </w:t>
            </w:r>
            <w:proofErr w:type="spellStart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Eidlin</w:t>
            </w:r>
            <w:proofErr w:type="spellEnd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). The exam committee wrote in the decision letter that it tried to award a formal “distinction” but could not since the system only allows pass/fail. It suggested that I write this in my CV.</w:t>
            </w:r>
          </w:p>
        </w:tc>
      </w:tr>
      <w:tr w:rsidR="006A390B" w14:paraId="5B0DE44F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CC72D4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</w:t>
            </w:r>
          </w:p>
        </w:tc>
        <w:tc>
          <w:tcPr>
            <w:tcW w:w="8238" w:type="dxa"/>
            <w:tcBorders>
              <w:right w:val="nil"/>
            </w:tcBorders>
          </w:tcPr>
          <w:p w14:paraId="00223334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University, MA History</w:t>
            </w:r>
          </w:p>
          <w:p w14:paraId="3B12FCFA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Historiography and Nationalism</w:t>
            </w:r>
          </w:p>
          <w:p w14:paraId="627FC74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3.83 out of 4.0</w:t>
            </w:r>
          </w:p>
        </w:tc>
      </w:tr>
      <w:tr w:rsidR="006A390B" w14:paraId="64AEDC9F" w14:textId="77777777" w:rsidTr="007A0C1A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3EFC96E5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</w:t>
            </w:r>
          </w:p>
        </w:tc>
        <w:tc>
          <w:tcPr>
            <w:tcW w:w="8238" w:type="dxa"/>
            <w:tcBorders>
              <w:right w:val="nil"/>
            </w:tcBorders>
          </w:tcPr>
          <w:p w14:paraId="7B35B41E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London School of Economics and Political Science,</w:t>
            </w:r>
          </w:p>
          <w:p w14:paraId="564BD67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Political Economy of Late Development</w:t>
            </w:r>
          </w:p>
          <w:p w14:paraId="366E642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Distinction</w:t>
            </w:r>
          </w:p>
          <w:p w14:paraId="4403E682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International Political Economy, Colonialism and Development</w:t>
            </w:r>
          </w:p>
        </w:tc>
      </w:tr>
      <w:tr w:rsidR="006A390B" w14:paraId="56382DCA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3529FF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2010 -</w:t>
            </w:r>
          </w:p>
          <w:p w14:paraId="33CFCFA0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2013</w:t>
            </w:r>
          </w:p>
        </w:tc>
        <w:tc>
          <w:tcPr>
            <w:tcW w:w="8238" w:type="dxa"/>
            <w:tcBorders>
              <w:right w:val="nil"/>
            </w:tcBorders>
          </w:tcPr>
          <w:p w14:paraId="465D017F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of Hong Kong, Bachelor of Economics and Finance, </w:t>
            </w:r>
          </w:p>
          <w:p w14:paraId="790F2CD7" w14:textId="77777777" w:rsidR="006A390B" w:rsidRDefault="006A390B">
            <w:pPr>
              <w:spacing w:after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390B" w14:paraId="1E96F56A" w14:textId="77777777" w:rsidTr="007A0C1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4441779F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(Below </w:t>
            </w:r>
            <w:proofErr w:type="gramStart"/>
            <w:r>
              <w:rPr>
                <w:b w:val="0"/>
                <w:sz w:val="24"/>
                <w:szCs w:val="24"/>
              </w:rPr>
              <w:t>are</w:t>
            </w:r>
            <w:proofErr w:type="gramEnd"/>
            <w:r>
              <w:rPr>
                <w:b w:val="0"/>
                <w:color w:val="FF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study abroad programs)</w:t>
            </w:r>
          </w:p>
        </w:tc>
      </w:tr>
      <w:tr w:rsidR="006A390B" w14:paraId="10DFF486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051B781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2011-</w:t>
            </w:r>
          </w:p>
          <w:p w14:paraId="79F99B17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8238" w:type="dxa"/>
            <w:tcBorders>
              <w:right w:val="nil"/>
            </w:tcBorders>
          </w:tcPr>
          <w:p w14:paraId="77BFA947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Zürich, one-year visiting study (In German)</w:t>
            </w:r>
          </w:p>
          <w:p w14:paraId="0ECE069A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4.9 out of 6.0</w:t>
            </w:r>
          </w:p>
        </w:tc>
      </w:tr>
      <w:tr w:rsidR="006A390B" w:rsidRPr="00DB2BFC" w14:paraId="52B9A45A" w14:textId="77777777" w:rsidTr="007A0C1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AB48374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</w:t>
            </w:r>
          </w:p>
        </w:tc>
        <w:tc>
          <w:tcPr>
            <w:tcW w:w="8238" w:type="dxa"/>
            <w:tcBorders>
              <w:right w:val="nil"/>
            </w:tcBorders>
          </w:tcPr>
          <w:p w14:paraId="7A2403FB" w14:textId="77777777" w:rsidR="006A390B" w:rsidRPr="00F704DA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F704DA">
              <w:rPr>
                <w:sz w:val="24"/>
                <w:szCs w:val="24"/>
                <w:lang w:val="fr-CA"/>
              </w:rPr>
              <w:t>École normale Supérieure à Paris, Un été à l'ENS (In French)</w:t>
            </w:r>
          </w:p>
        </w:tc>
      </w:tr>
      <w:tr w:rsidR="006A390B" w14:paraId="39D3A0E0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36E2E763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(Below are uncompleted degree programs)</w:t>
            </w:r>
          </w:p>
        </w:tc>
      </w:tr>
      <w:tr w:rsidR="006A390B" w14:paraId="132F920D" w14:textId="77777777" w:rsidTr="007A0C1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  <w:bottom w:val="single" w:sz="4" w:space="0" w:color="7F7F7F"/>
            </w:tcBorders>
          </w:tcPr>
          <w:p w14:paraId="06CF780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2020-2021</w:t>
            </w:r>
          </w:p>
        </w:tc>
        <w:tc>
          <w:tcPr>
            <w:tcW w:w="8238" w:type="dxa"/>
            <w:tcBorders>
              <w:bottom w:val="single" w:sz="4" w:space="0" w:color="7F7F7F"/>
              <w:right w:val="nil"/>
            </w:tcBorders>
          </w:tcPr>
          <w:p w14:paraId="603CAFC2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Epistemology Ethics and Mind (Online), University of Edinburgh</w:t>
            </w:r>
          </w:p>
        </w:tc>
      </w:tr>
    </w:tbl>
    <w:p w14:paraId="2302B7C5" w14:textId="77777777" w:rsidR="006D4C39" w:rsidRDefault="006D4C39">
      <w:pPr>
        <w:spacing w:line="276" w:lineRule="auto"/>
        <w:rPr>
          <w:sz w:val="28"/>
          <w:szCs w:val="28"/>
        </w:rPr>
      </w:pPr>
    </w:p>
    <w:p w14:paraId="3A50B923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Skills</w:t>
      </w:r>
    </w:p>
    <w:tbl>
      <w:tblPr>
        <w:tblStyle w:val="a2"/>
        <w:tblW w:w="9257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070"/>
        <w:gridCol w:w="4757"/>
      </w:tblGrid>
      <w:tr w:rsidR="006A390B" w14:paraId="0640EDC6" w14:textId="77777777" w:rsidTr="00DF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none" w:sz="0" w:space="0" w:color="auto"/>
            </w:tcBorders>
          </w:tcPr>
          <w:p w14:paraId="45DB52E0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070" w:type="dxa"/>
            <w:tcBorders>
              <w:bottom w:val="none" w:sz="0" w:space="0" w:color="auto"/>
            </w:tcBorders>
          </w:tcPr>
          <w:p w14:paraId="0A072914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</w:t>
            </w:r>
          </w:p>
        </w:tc>
        <w:tc>
          <w:tcPr>
            <w:tcW w:w="4757" w:type="dxa"/>
            <w:tcBorders>
              <w:bottom w:val="none" w:sz="0" w:space="0" w:color="auto"/>
            </w:tcBorders>
          </w:tcPr>
          <w:p w14:paraId="4FBFA59A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</w:t>
            </w:r>
          </w:p>
        </w:tc>
      </w:tr>
      <w:tr w:rsidR="006A390B" w14:paraId="66A05730" w14:textId="77777777" w:rsidTr="00DF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03EE7CD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English</w:t>
            </w:r>
          </w:p>
          <w:p w14:paraId="6F3797D2" w14:textId="77777777" w:rsidR="00697D00" w:rsidRDefault="00697D00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Korean</w:t>
            </w:r>
          </w:p>
          <w:p w14:paraId="42C8461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French</w:t>
            </w:r>
          </w:p>
          <w:p w14:paraId="18355199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German</w:t>
            </w:r>
          </w:p>
          <w:p w14:paraId="28C476A6" w14:textId="77777777" w:rsidR="00DF4FF0" w:rsidRDefault="00DF4F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881660" w14:textId="540396FE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Japanese</w:t>
            </w:r>
          </w:p>
          <w:p w14:paraId="0FCF38C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Mandarin</w:t>
            </w:r>
          </w:p>
          <w:p w14:paraId="1BC1938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Classical Chinese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14:paraId="6C450066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Native equivalent</w:t>
            </w:r>
          </w:p>
          <w:p w14:paraId="2E2D33E7" w14:textId="77777777" w:rsidR="00697D00" w:rsidRDefault="00697D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  <w:p w14:paraId="172CFFA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58A89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63610B" w14:textId="77777777" w:rsidR="00153E93" w:rsidRDefault="00153E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48C3E2" w14:textId="55DA57B3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2A8F87D3" w14:textId="77777777" w:rsidR="006A390B" w:rsidRDefault="006D4C3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B42D5">
              <w:rPr>
                <w:sz w:val="24"/>
                <w:szCs w:val="24"/>
              </w:rPr>
              <w:t>ntermediate</w:t>
            </w:r>
          </w:p>
          <w:p w14:paraId="5F5A7182" w14:textId="77777777" w:rsidR="006A390B" w:rsidRPr="007129FD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reading</w:t>
            </w:r>
          </w:p>
        </w:tc>
        <w:tc>
          <w:tcPr>
            <w:tcW w:w="4757" w:type="dxa"/>
            <w:tcBorders>
              <w:top w:val="none" w:sz="0" w:space="0" w:color="auto"/>
              <w:bottom w:val="none" w:sz="0" w:space="0" w:color="auto"/>
            </w:tcBorders>
          </w:tcPr>
          <w:p w14:paraId="2BC1697C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IBT TOEFL score 120 out of </w:t>
            </w:r>
            <w:proofErr w:type="gramStart"/>
            <w:r>
              <w:rPr>
                <w:sz w:val="24"/>
                <w:szCs w:val="24"/>
              </w:rPr>
              <w:t>120</w:t>
            </w:r>
            <w:proofErr w:type="gramEnd"/>
          </w:p>
          <w:p w14:paraId="35F88B0C" w14:textId="77777777" w:rsidR="007129FD" w:rsidRDefault="007129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B0C66" w14:textId="1A5C29CC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DALF C2</w:t>
            </w:r>
            <w:r w:rsidR="00DF4FF0">
              <w:rPr>
                <w:sz w:val="24"/>
                <w:szCs w:val="24"/>
              </w:rPr>
              <w:t xml:space="preserve"> (highest among six levels)</w:t>
            </w:r>
          </w:p>
          <w:p w14:paraId="2C177202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Grosses </w:t>
            </w:r>
            <w:proofErr w:type="spellStart"/>
            <w:r>
              <w:rPr>
                <w:sz w:val="24"/>
                <w:szCs w:val="24"/>
              </w:rPr>
              <w:t>Deutsches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Sprachdiplom</w:t>
            </w:r>
            <w:proofErr w:type="spellEnd"/>
            <w:r>
              <w:rPr>
                <w:sz w:val="24"/>
                <w:szCs w:val="24"/>
              </w:rPr>
              <w:t xml:space="preserve"> C2</w:t>
            </w:r>
          </w:p>
          <w:p w14:paraId="05449B26" w14:textId="6FCD2EC7" w:rsidR="00DF4FF0" w:rsidRDefault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(highest among six levels)</w:t>
            </w:r>
          </w:p>
          <w:p w14:paraId="685670DA" w14:textId="517A1318" w:rsidR="00DF4FF0" w:rsidRDefault="002B42D5" w:rsidP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JLPT N1</w:t>
            </w:r>
            <w:r w:rsidR="00DF4FF0">
              <w:rPr>
                <w:sz w:val="24"/>
                <w:szCs w:val="24"/>
              </w:rPr>
              <w:t xml:space="preserve"> </w:t>
            </w:r>
            <w:r w:rsidR="00DF4FF0">
              <w:rPr>
                <w:sz w:val="24"/>
                <w:szCs w:val="24"/>
              </w:rPr>
              <w:t xml:space="preserve">(highest among </w:t>
            </w:r>
            <w:r w:rsidR="00DF4FF0">
              <w:rPr>
                <w:sz w:val="24"/>
                <w:szCs w:val="24"/>
              </w:rPr>
              <w:t>five</w:t>
            </w:r>
            <w:r w:rsidR="00DF4FF0">
              <w:rPr>
                <w:sz w:val="24"/>
                <w:szCs w:val="24"/>
              </w:rPr>
              <w:t xml:space="preserve"> levels)</w:t>
            </w:r>
          </w:p>
          <w:p w14:paraId="5B821A7B" w14:textId="735F06AA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HSK level 5</w:t>
            </w:r>
            <w:r w:rsidR="00DF4FF0">
              <w:rPr>
                <w:sz w:val="24"/>
                <w:szCs w:val="24"/>
              </w:rPr>
              <w:t xml:space="preserve"> (</w:t>
            </w:r>
            <w:r w:rsidR="000259CE">
              <w:rPr>
                <w:sz w:val="24"/>
                <w:szCs w:val="24"/>
              </w:rPr>
              <w:t>second highest</w:t>
            </w:r>
            <w:r w:rsidR="00DF4FF0">
              <w:rPr>
                <w:sz w:val="24"/>
                <w:szCs w:val="24"/>
              </w:rPr>
              <w:t xml:space="preserve"> among six levels)</w:t>
            </w:r>
          </w:p>
          <w:p w14:paraId="293EBB33" w14:textId="77777777" w:rsidR="006A390B" w:rsidRDefault="006A39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03DA71A" w14:textId="77777777" w:rsidR="006A390B" w:rsidRDefault="006A390B">
      <w:pPr>
        <w:rPr>
          <w:sz w:val="28"/>
          <w:szCs w:val="28"/>
        </w:rPr>
      </w:pPr>
    </w:p>
    <w:p w14:paraId="4840620B" w14:textId="77777777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Methods</w:t>
      </w:r>
    </w:p>
    <w:tbl>
      <w:tblPr>
        <w:tblStyle w:val="a3"/>
        <w:tblW w:w="9060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500"/>
      </w:tblGrid>
      <w:tr w:rsidR="006A390B" w14:paraId="08538D3E" w14:textId="77777777" w:rsidTr="00257EA8">
        <w:trPr>
          <w:trHeight w:val="713"/>
        </w:trPr>
        <w:tc>
          <w:tcPr>
            <w:tcW w:w="1560" w:type="dxa"/>
          </w:tcPr>
          <w:p w14:paraId="68FE126A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7500" w:type="dxa"/>
          </w:tcPr>
          <w:p w14:paraId="7615653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Research-level knowledge (relevant to my 2022 article in </w:t>
            </w:r>
            <w:r>
              <w:rPr>
                <w:i/>
                <w:sz w:val="24"/>
                <w:szCs w:val="24"/>
              </w:rPr>
              <w:t>Social Science and Medicine</w:t>
            </w:r>
            <w:r>
              <w:rPr>
                <w:sz w:val="24"/>
                <w:szCs w:val="24"/>
              </w:rPr>
              <w:t>):</w:t>
            </w:r>
          </w:p>
          <w:p w14:paraId="2DD8E0B9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 xml:space="preserve">Multilevel modeling: Choice of centering, Latent centering, Complex L1- and L2- variances,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Non-nested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models, Bayesian approaches</w:t>
            </w:r>
          </w:p>
          <w:p w14:paraId="7431E8DA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Causal inference: DAGs, Contextual analysis, Causal mediation analysis, Instrumental variables</w:t>
            </w:r>
          </w:p>
          <w:p w14:paraId="39BEF69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6E07FC50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Network analysis</w:t>
            </w:r>
          </w:p>
          <w:p w14:paraId="43677F00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Latent variable models: Factor analysis, SEM and MSEM, Growth curve models</w:t>
            </w:r>
          </w:p>
          <w:p w14:paraId="747FF93D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Panel regression</w:t>
            </w:r>
          </w:p>
          <w:p w14:paraId="6C899BFC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Probing complex interaction effects</w:t>
            </w:r>
          </w:p>
          <w:p w14:paraId="7631F214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skills</w:t>
            </w:r>
          </w:p>
          <w:p w14:paraId="7520D9E1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R and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Mplus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(main tools); Stata (secondary tool)</w:t>
            </w:r>
          </w:p>
        </w:tc>
      </w:tr>
      <w:tr w:rsidR="006A390B" w14:paraId="04CE041C" w14:textId="77777777" w:rsidTr="00257EA8">
        <w:trPr>
          <w:trHeight w:val="962"/>
        </w:trPr>
        <w:tc>
          <w:tcPr>
            <w:tcW w:w="1560" w:type="dxa"/>
          </w:tcPr>
          <w:p w14:paraId="085E4AC9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Historical</w:t>
            </w:r>
          </w:p>
        </w:tc>
        <w:tc>
          <w:tcPr>
            <w:tcW w:w="7500" w:type="dxa"/>
          </w:tcPr>
          <w:p w14:paraId="2467AA88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Research-level knowledge (relevant to my ongoing project undergoing R&amp;R in </w:t>
            </w:r>
            <w:r>
              <w:rPr>
                <w:i/>
                <w:sz w:val="24"/>
                <w:szCs w:val="24"/>
              </w:rPr>
              <w:t>Sociological Methods and Research</w:t>
            </w:r>
            <w:r>
              <w:rPr>
                <w:sz w:val="24"/>
                <w:szCs w:val="24"/>
              </w:rPr>
              <w:t xml:space="preserve">): </w:t>
            </w:r>
          </w:p>
          <w:p w14:paraId="3805EF02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Comparative-historical methods</w:t>
            </w:r>
          </w:p>
          <w:p w14:paraId="56AF0421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Theory of singular causation</w:t>
            </w:r>
          </w:p>
          <w:p w14:paraId="133E4F1E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Narrativist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philosophy of history</w:t>
            </w:r>
          </w:p>
          <w:p w14:paraId="586DDF4E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0A1C9007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Archival methods</w:t>
            </w:r>
          </w:p>
        </w:tc>
      </w:tr>
    </w:tbl>
    <w:p w14:paraId="6E80560C" w14:textId="77777777" w:rsidR="006A390B" w:rsidRDefault="006A390B">
      <w:pPr>
        <w:rPr>
          <w:sz w:val="24"/>
          <w:szCs w:val="24"/>
        </w:rPr>
      </w:pPr>
    </w:p>
    <w:p w14:paraId="4C720D2F" w14:textId="77777777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Teaching</w:t>
      </w:r>
    </w:p>
    <w:tbl>
      <w:tblPr>
        <w:tblStyle w:val="a4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7444F094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</w:tcBorders>
          </w:tcPr>
          <w:p w14:paraId="4E70A39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05.2021-</w:t>
            </w:r>
          </w:p>
          <w:p w14:paraId="524161D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06.2021</w:t>
            </w:r>
          </w:p>
        </w:tc>
        <w:tc>
          <w:tcPr>
            <w:tcW w:w="7507" w:type="dxa"/>
            <w:tcBorders>
              <w:top w:val="single" w:sz="4" w:space="0" w:color="7F7F7F"/>
              <w:right w:val="nil"/>
            </w:tcBorders>
          </w:tcPr>
          <w:p w14:paraId="3153BB4B" w14:textId="77777777" w:rsidR="006A390B" w:rsidRDefault="002B42D5">
            <w:pPr>
              <w:spacing w:line="276" w:lineRule="auto"/>
              <w:ind w:firstLin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Instructor for SOCI211 Sociological Inquiry (summer)</w:t>
            </w:r>
          </w:p>
        </w:tc>
      </w:tr>
      <w:tr w:rsidR="006A390B" w14:paraId="435BCD2B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13CE50C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01.2020-</w:t>
            </w:r>
          </w:p>
          <w:p w14:paraId="6CFDDB9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04.2020</w:t>
            </w:r>
          </w:p>
        </w:tc>
        <w:tc>
          <w:tcPr>
            <w:tcW w:w="7507" w:type="dxa"/>
            <w:tcBorders>
              <w:right w:val="nil"/>
            </w:tcBorders>
          </w:tcPr>
          <w:p w14:paraId="61DE7FB4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SOCI325 Sociology of Science</w:t>
            </w:r>
          </w:p>
          <w:p w14:paraId="2FD617CD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Gave a guest lecture on feminist epistemology</w:t>
            </w:r>
          </w:p>
        </w:tc>
      </w:tr>
      <w:tr w:rsidR="006A390B" w14:paraId="515353B6" w14:textId="77777777" w:rsidTr="00257EA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33DABF3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01.2019-</w:t>
            </w:r>
          </w:p>
          <w:p w14:paraId="69E67D9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04.2019</w:t>
            </w:r>
          </w:p>
        </w:tc>
        <w:tc>
          <w:tcPr>
            <w:tcW w:w="7507" w:type="dxa"/>
            <w:tcBorders>
              <w:right w:val="nil"/>
            </w:tcBorders>
          </w:tcPr>
          <w:p w14:paraId="4A6CF72D" w14:textId="77777777" w:rsidR="006A390B" w:rsidRDefault="002B42D5">
            <w:pPr>
              <w:spacing w:line="276" w:lineRule="auto"/>
              <w:ind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SOCI254 Development and Underdevelopment</w:t>
            </w:r>
          </w:p>
        </w:tc>
      </w:tr>
      <w:tr w:rsidR="006A390B" w14:paraId="0E030CF1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04BF4935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01.2016–</w:t>
            </w:r>
          </w:p>
          <w:p w14:paraId="396832C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04.2016</w:t>
            </w:r>
          </w:p>
        </w:tc>
        <w:tc>
          <w:tcPr>
            <w:tcW w:w="7507" w:type="dxa"/>
            <w:tcBorders>
              <w:right w:val="nil"/>
            </w:tcBorders>
          </w:tcPr>
          <w:p w14:paraId="6D718CF4" w14:textId="77777777" w:rsidR="006A390B" w:rsidRDefault="002B42D5">
            <w:p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Teaching Assistant for HIST218 Modern East Asian History   </w:t>
            </w:r>
          </w:p>
          <w:p w14:paraId="38396C78" w14:textId="77777777" w:rsidR="006A390B" w:rsidRDefault="002B42D5">
            <w:pPr>
              <w:spacing w:line="276" w:lineRule="auto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Gave a guest lecture on modern Korean history</w:t>
            </w:r>
          </w:p>
        </w:tc>
      </w:tr>
    </w:tbl>
    <w:p w14:paraId="261428C2" w14:textId="77777777" w:rsidR="006A390B" w:rsidRDefault="006A390B">
      <w:pPr>
        <w:spacing w:line="276" w:lineRule="auto"/>
        <w:rPr>
          <w:sz w:val="28"/>
          <w:szCs w:val="28"/>
        </w:rPr>
      </w:pPr>
    </w:p>
    <w:p w14:paraId="6E6C5E95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Assistant Experience</w:t>
      </w:r>
    </w:p>
    <w:tbl>
      <w:tblPr>
        <w:tblStyle w:val="a5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59655520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  <w:right w:val="single" w:sz="4" w:space="0" w:color="7F7F7F"/>
            </w:tcBorders>
          </w:tcPr>
          <w:p w14:paraId="4E757E9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06.2020-</w:t>
            </w:r>
          </w:p>
          <w:p w14:paraId="0C86B92F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11.2021</w:t>
            </w:r>
          </w:p>
        </w:tc>
        <w:tc>
          <w:tcPr>
            <w:tcW w:w="7507" w:type="dxa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14:paraId="277AEE6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 Department of Management</w:t>
            </w:r>
          </w:p>
          <w:p w14:paraId="3217E2D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Research assistant in social determinants of health for Prof. Anthony Masi</w:t>
            </w:r>
          </w:p>
        </w:tc>
      </w:tr>
      <w:tr w:rsidR="006A390B" w14:paraId="2877EF27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right w:val="single" w:sz="4" w:space="0" w:color="7F7F7F"/>
            </w:tcBorders>
          </w:tcPr>
          <w:p w14:paraId="1F7F875E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05.2019-</w:t>
            </w:r>
          </w:p>
          <w:p w14:paraId="7A78D35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04.2022</w:t>
            </w:r>
          </w:p>
        </w:tc>
        <w:tc>
          <w:tcPr>
            <w:tcW w:w="7507" w:type="dxa"/>
            <w:tcBorders>
              <w:left w:val="single" w:sz="4" w:space="0" w:color="7F7F7F"/>
              <w:right w:val="nil"/>
            </w:tcBorders>
          </w:tcPr>
          <w:p w14:paraId="0850F200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2460966F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sociological theory for Prof. Axel van den Berg</w:t>
            </w:r>
          </w:p>
        </w:tc>
      </w:tr>
      <w:tr w:rsidR="006A390B" w14:paraId="0FF8FAA5" w14:textId="77777777" w:rsidTr="00257EA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bottom w:val="single" w:sz="4" w:space="0" w:color="7F7F7F"/>
              <w:right w:val="single" w:sz="4" w:space="0" w:color="7F7F7F"/>
            </w:tcBorders>
          </w:tcPr>
          <w:p w14:paraId="1C1E61F1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09.2018-</w:t>
            </w:r>
          </w:p>
          <w:p w14:paraId="54A02BE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01.2023</w:t>
            </w:r>
          </w:p>
        </w:tc>
        <w:tc>
          <w:tcPr>
            <w:tcW w:w="7507" w:type="dxa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14:paraId="1FC1E09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6BD2C5B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historical sociology for Prof. Matthew Lange</w:t>
            </w:r>
          </w:p>
        </w:tc>
      </w:tr>
    </w:tbl>
    <w:p w14:paraId="5DB43FB7" w14:textId="77777777" w:rsidR="006A390B" w:rsidRDefault="006A390B">
      <w:pPr>
        <w:spacing w:line="276" w:lineRule="auto"/>
        <w:rPr>
          <w:sz w:val="28"/>
          <w:szCs w:val="28"/>
        </w:rPr>
      </w:pPr>
    </w:p>
    <w:p w14:paraId="66FD3D06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work experience</w:t>
      </w:r>
    </w:p>
    <w:tbl>
      <w:tblPr>
        <w:tblStyle w:val="a6"/>
        <w:tblW w:w="9016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486"/>
      </w:tblGrid>
      <w:tr w:rsidR="006A390B" w14:paraId="68DE2A76" w14:textId="77777777" w:rsidTr="00257EA8">
        <w:tc>
          <w:tcPr>
            <w:tcW w:w="1530" w:type="dxa"/>
            <w:tcBorders>
              <w:top w:val="single" w:sz="4" w:space="0" w:color="7F7F7F"/>
              <w:bottom w:val="single" w:sz="4" w:space="0" w:color="000000"/>
              <w:right w:val="single" w:sz="4" w:space="0" w:color="7F7F7F"/>
            </w:tcBorders>
          </w:tcPr>
          <w:p w14:paraId="1C1AFE73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06.2017-</w:t>
            </w:r>
          </w:p>
          <w:p w14:paraId="52A05180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748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</w:tcBorders>
          </w:tcPr>
          <w:p w14:paraId="6B637F87" w14:textId="77777777" w:rsidR="006A390B" w:rsidRPr="00D11CE3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11CE3">
              <w:rPr>
                <w:sz w:val="24"/>
                <w:szCs w:val="24"/>
              </w:rPr>
              <w:t>Editage</w:t>
            </w:r>
            <w:proofErr w:type="spellEnd"/>
          </w:p>
          <w:p w14:paraId="63204AB0" w14:textId="77777777" w:rsidR="006A390B" w:rsidRDefault="00724AC6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tag w:val="goog_rdk_2"/>
                <w:id w:val="1556896214"/>
              </w:sdtPr>
              <w:sdtEndPr/>
              <w:sdtContent>
                <w:r w:rsidR="002B42D5" w:rsidRPr="00D11CE3">
                  <w:rPr>
                    <w:rFonts w:eastAsia="Cardo"/>
                    <w:sz w:val="24"/>
                    <w:szCs w:val="24"/>
                  </w:rPr>
                  <w:t xml:space="preserve">   Academic Translator (Korean ↔ English)</w:t>
                </w:r>
              </w:sdtContent>
            </w:sdt>
          </w:p>
        </w:tc>
      </w:tr>
      <w:tr w:rsidR="006A390B" w14:paraId="65EF09E5" w14:textId="77777777" w:rsidTr="00257EA8">
        <w:tc>
          <w:tcPr>
            <w:tcW w:w="1530" w:type="dxa"/>
            <w:tcBorders>
              <w:top w:val="single" w:sz="4" w:space="0" w:color="000000"/>
              <w:bottom w:val="single" w:sz="4" w:space="0" w:color="7F7F7F"/>
              <w:right w:val="single" w:sz="4" w:space="0" w:color="7F7F7F"/>
            </w:tcBorders>
          </w:tcPr>
          <w:p w14:paraId="2E0FD99E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08.2016-</w:t>
            </w:r>
          </w:p>
          <w:p w14:paraId="311C59B1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10.2016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</w:tcBorders>
          </w:tcPr>
          <w:p w14:paraId="27A9A63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United Nations Human Settlements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(UN-HABITAT), Regional Office for the Asia and the Pacific, Fukuoka</w:t>
            </w:r>
            <w:r w:rsidR="001B0A87">
              <w:rPr>
                <w:sz w:val="24"/>
                <w:szCs w:val="24"/>
              </w:rPr>
              <w:t>, Japan</w:t>
            </w:r>
          </w:p>
          <w:p w14:paraId="325AF17D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 xml:space="preserve"> Project Management Intern</w:t>
            </w:r>
          </w:p>
        </w:tc>
      </w:tr>
    </w:tbl>
    <w:p w14:paraId="1E5B8CF5" w14:textId="77777777" w:rsidR="006A390B" w:rsidRDefault="006A390B">
      <w:pPr>
        <w:spacing w:line="276" w:lineRule="auto"/>
        <w:rPr>
          <w:sz w:val="28"/>
          <w:szCs w:val="28"/>
        </w:rPr>
      </w:pPr>
    </w:p>
    <w:p w14:paraId="393B42A9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Standardized Test Results</w:t>
      </w:r>
    </w:p>
    <w:tbl>
      <w:tblPr>
        <w:tblStyle w:val="a7"/>
        <w:tblW w:w="9254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69"/>
      </w:tblGrid>
      <w:tr w:rsidR="006A390B" w14:paraId="08A59275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317914F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GRE Revised</w:t>
            </w:r>
          </w:p>
          <w:p w14:paraId="0D259A07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11.2016</w:t>
            </w:r>
          </w:p>
        </w:tc>
        <w:tc>
          <w:tcPr>
            <w:tcW w:w="7269" w:type="dxa"/>
            <w:tcBorders>
              <w:bottom w:val="none" w:sz="0" w:space="0" w:color="auto"/>
            </w:tcBorders>
          </w:tcPr>
          <w:p w14:paraId="7692B9A9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Verbal 169 out of 170</w:t>
            </w:r>
          </w:p>
          <w:p w14:paraId="75E96E4B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Quant 170 out of 170</w:t>
            </w:r>
          </w:p>
          <w:p w14:paraId="173934A6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Writing 4.5 out of 6.0</w:t>
            </w:r>
          </w:p>
        </w:tc>
      </w:tr>
      <w:tr w:rsidR="006A390B" w14:paraId="391451A3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14:paraId="52F0574A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GMAT</w:t>
            </w:r>
          </w:p>
          <w:p w14:paraId="695181FB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01.2014</w:t>
            </w:r>
          </w:p>
        </w:tc>
        <w:tc>
          <w:tcPr>
            <w:tcW w:w="7269" w:type="dxa"/>
            <w:tcBorders>
              <w:top w:val="none" w:sz="0" w:space="0" w:color="auto"/>
              <w:bottom w:val="none" w:sz="0" w:space="0" w:color="auto"/>
            </w:tcBorders>
          </w:tcPr>
          <w:p w14:paraId="76F45AB0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 &amp; Verbal 750 out of 800 (98th percentile)</w:t>
            </w:r>
          </w:p>
          <w:p w14:paraId="17481058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Reasoning 8 out of 8</w:t>
            </w:r>
          </w:p>
          <w:p w14:paraId="42A7C3E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Writing 6.0 out of 6.0</w:t>
            </w:r>
          </w:p>
        </w:tc>
      </w:tr>
    </w:tbl>
    <w:p w14:paraId="5B8C9B54" w14:textId="77777777" w:rsidR="006A390B" w:rsidRDefault="006A390B">
      <w:pPr>
        <w:spacing w:line="276" w:lineRule="auto"/>
        <w:rPr>
          <w:b/>
          <w:sz w:val="28"/>
          <w:szCs w:val="28"/>
        </w:rPr>
      </w:pPr>
    </w:p>
    <w:sectPr w:rsidR="006A390B">
      <w:headerReference w:type="default" r:id="rId14"/>
      <w:pgSz w:w="11906" w:h="16838"/>
      <w:pgMar w:top="1440" w:right="1440" w:bottom="1440" w:left="1440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646A" w14:textId="77777777" w:rsidR="002B42D5" w:rsidRDefault="002B42D5">
      <w:r>
        <w:separator/>
      </w:r>
    </w:p>
  </w:endnote>
  <w:endnote w:type="continuationSeparator" w:id="0">
    <w:p w14:paraId="0C7E0E54" w14:textId="77777777" w:rsidR="002B42D5" w:rsidRDefault="002B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D358" w14:textId="77777777" w:rsidR="002B42D5" w:rsidRDefault="002B42D5">
      <w:r>
        <w:separator/>
      </w:r>
    </w:p>
  </w:footnote>
  <w:footnote w:type="continuationSeparator" w:id="0">
    <w:p w14:paraId="3113B23C" w14:textId="77777777" w:rsidR="002B42D5" w:rsidRDefault="002B4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3336" w14:textId="77777777" w:rsidR="006A390B" w:rsidRDefault="002B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>Detailed CV</w:t>
    </w:r>
  </w:p>
  <w:p w14:paraId="433E9CF2" w14:textId="7F679131" w:rsidR="006A390B" w:rsidRDefault="0026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 xml:space="preserve">Updated </w:t>
    </w:r>
    <w:r w:rsidR="00724AC6">
      <w:rPr>
        <w:rFonts w:eastAsia="Times New Roman"/>
        <w:color w:val="000000"/>
        <w:sz w:val="18"/>
        <w:szCs w:val="18"/>
      </w:rPr>
      <w:t>October 17</w:t>
    </w:r>
    <w:r w:rsidR="002B42D5">
      <w:rPr>
        <w:rFonts w:eastAsia="Times New Roman"/>
        <w:color w:val="000000"/>
        <w:sz w:val="18"/>
        <w:szCs w:val="18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35D84"/>
    <w:multiLevelType w:val="multilevel"/>
    <w:tmpl w:val="920A21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EB7A72"/>
    <w:multiLevelType w:val="multilevel"/>
    <w:tmpl w:val="3FD41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685B95"/>
    <w:multiLevelType w:val="multilevel"/>
    <w:tmpl w:val="589A8B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1B6A28"/>
    <w:multiLevelType w:val="multilevel"/>
    <w:tmpl w:val="89842F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80682085">
    <w:abstractNumId w:val="2"/>
  </w:num>
  <w:num w:numId="2" w16cid:durableId="1693073858">
    <w:abstractNumId w:val="1"/>
  </w:num>
  <w:num w:numId="3" w16cid:durableId="1288008626">
    <w:abstractNumId w:val="0"/>
  </w:num>
  <w:num w:numId="4" w16cid:durableId="59555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DMzMzAwMjU0szRR0lEKTi0uzszPAykwqwUA5TzCqywAAAA="/>
  </w:docVars>
  <w:rsids>
    <w:rsidRoot w:val="006A390B"/>
    <w:rsid w:val="00001793"/>
    <w:rsid w:val="000259CE"/>
    <w:rsid w:val="0009511F"/>
    <w:rsid w:val="000B61E2"/>
    <w:rsid w:val="00114022"/>
    <w:rsid w:val="00135EAD"/>
    <w:rsid w:val="00153E93"/>
    <w:rsid w:val="00155897"/>
    <w:rsid w:val="001B0A87"/>
    <w:rsid w:val="001B39B2"/>
    <w:rsid w:val="001C4538"/>
    <w:rsid w:val="00231760"/>
    <w:rsid w:val="00257EA8"/>
    <w:rsid w:val="002637C5"/>
    <w:rsid w:val="002640C5"/>
    <w:rsid w:val="002644DF"/>
    <w:rsid w:val="002B42D5"/>
    <w:rsid w:val="002E2105"/>
    <w:rsid w:val="003058F0"/>
    <w:rsid w:val="00344E79"/>
    <w:rsid w:val="00366DB9"/>
    <w:rsid w:val="004258DC"/>
    <w:rsid w:val="0042613D"/>
    <w:rsid w:val="00486D2E"/>
    <w:rsid w:val="004D6FBC"/>
    <w:rsid w:val="00507EB0"/>
    <w:rsid w:val="00523CF4"/>
    <w:rsid w:val="005702F4"/>
    <w:rsid w:val="00586B9D"/>
    <w:rsid w:val="00596503"/>
    <w:rsid w:val="005E23D8"/>
    <w:rsid w:val="005E74D3"/>
    <w:rsid w:val="00653011"/>
    <w:rsid w:val="00681BC8"/>
    <w:rsid w:val="00697D00"/>
    <w:rsid w:val="006A390B"/>
    <w:rsid w:val="006A4958"/>
    <w:rsid w:val="006D4C39"/>
    <w:rsid w:val="007011A5"/>
    <w:rsid w:val="007129FD"/>
    <w:rsid w:val="00724AC6"/>
    <w:rsid w:val="00781827"/>
    <w:rsid w:val="007A0C1A"/>
    <w:rsid w:val="00803841"/>
    <w:rsid w:val="008A652F"/>
    <w:rsid w:val="0094558D"/>
    <w:rsid w:val="009C4719"/>
    <w:rsid w:val="00AF6168"/>
    <w:rsid w:val="00B16A1E"/>
    <w:rsid w:val="00C134D7"/>
    <w:rsid w:val="00C86719"/>
    <w:rsid w:val="00CA00AF"/>
    <w:rsid w:val="00D10774"/>
    <w:rsid w:val="00D11CE3"/>
    <w:rsid w:val="00DA242F"/>
    <w:rsid w:val="00DB2BFC"/>
    <w:rsid w:val="00DB60BC"/>
    <w:rsid w:val="00DD0DCA"/>
    <w:rsid w:val="00DF4FF0"/>
    <w:rsid w:val="00E70297"/>
    <w:rsid w:val="00E94FF8"/>
    <w:rsid w:val="00F15971"/>
    <w:rsid w:val="00F24818"/>
    <w:rsid w:val="00F704DA"/>
    <w:rsid w:val="00F731A8"/>
    <w:rsid w:val="00F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2EA"/>
  <w15:docId w15:val="{DA765BC1-23FB-410C-B526-5A8C479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27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1827"/>
    <w:rPr>
      <w:color w:val="0000FF"/>
      <w:u w:val="single"/>
    </w:rPr>
  </w:style>
  <w:style w:type="table" w:styleId="TableGrid">
    <w:name w:val="Table Grid"/>
    <w:basedOn w:val="TableNormal"/>
    <w:uiPriority w:val="59"/>
    <w:rsid w:val="007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9C8"/>
    <w:pPr>
      <w:ind w:leftChars="400" w:left="800"/>
    </w:pPr>
  </w:style>
  <w:style w:type="table" w:styleId="PlainTable5">
    <w:name w:val="Plain Table 5"/>
    <w:basedOn w:val="TableNormal"/>
    <w:uiPriority w:val="45"/>
    <w:rsid w:val="004318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1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734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2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F6"/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D7E"/>
    <w:rPr>
      <w:color w:val="800080" w:themeColor="followedHyperlink"/>
      <w:u w:val="single"/>
    </w:rPr>
  </w:style>
  <w:style w:type="paragraph" w:customStyle="1" w:styleId="Default">
    <w:name w:val="Default"/>
    <w:rsid w:val="005311A5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">
    <w:name w:val="A0"/>
    <w:uiPriority w:val="99"/>
    <w:rsid w:val="005311A5"/>
    <w:rPr>
      <w:rFonts w:cs="Minion Pro"/>
      <w:color w:val="000000"/>
      <w:sz w:val="15"/>
      <w:szCs w:val="1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.jeong@mail.mcgill.ca" TargetMode="External"/><Relationship Id="rId13" Type="http://schemas.openxmlformats.org/officeDocument/2006/relationships/hyperlink" Target="https://thediplomat.com/2022/12/did-north-korea-really-fake-an-icbm-test-in-mar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knews.org/2023/07/why-we-should-be-wary-of-claims-that-north-korean-satellite-was-a-paper-dol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d6g2j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sf.io/jb9z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yjeong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nj0fHx73Az1rJIlIoAbNPPhxA==">CgMxLjAaFAoBMBIPCg0IB0IJEgdHdW5nc3VoGhQKATESDwoNCAdCCRIHR3VuZ3N1aBoSCgEyEg0KCwgHQgcSBUNhcmRvOAByITFfYzRfMHhBbUY3ZklUZEFETzNtWWlzX0VfblRXQUlKNA==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Tay Jeong</cp:lastModifiedBy>
  <cp:revision>27</cp:revision>
  <cp:lastPrinted>2023-10-03T07:23:00Z</cp:lastPrinted>
  <dcterms:created xsi:type="dcterms:W3CDTF">2023-10-18T07:43:00Z</dcterms:created>
  <dcterms:modified xsi:type="dcterms:W3CDTF">2023-10-18T07:58:00Z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1caf380f02edd4ca330ddc6194a395a9dcd7411c0ad80b8762f6bde133f1483c</vt:lpwstr>
  </property>
</Properties>
</file>