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79FA2" w14:textId="77777777" w:rsidR="00CE4E55" w:rsidRDefault="00CE4E55">
      <w:pPr>
        <w:spacing w:before="9"/>
        <w:rPr>
          <w:rFonts w:ascii="Times New Roman" w:eastAsia="Times New Roman" w:hAnsi="Times New Roman" w:cs="Times New Roman"/>
          <w:sz w:val="6"/>
          <w:szCs w:val="6"/>
        </w:rPr>
      </w:pPr>
    </w:p>
    <w:p w14:paraId="73E40568" w14:textId="77777777" w:rsidR="00CE4E55" w:rsidRDefault="00555147">
      <w:pPr>
        <w:spacing w:line="200" w:lineRule="atLeast"/>
        <w:ind w:left="20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AA58068" wp14:editId="1A3C0F64">
            <wp:extent cx="4745576" cy="6286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45576" cy="628650"/>
                    </a:xfrm>
                    <a:prstGeom prst="rect">
                      <a:avLst/>
                    </a:prstGeom>
                  </pic:spPr>
                </pic:pic>
              </a:graphicData>
            </a:graphic>
          </wp:inline>
        </w:drawing>
      </w:r>
    </w:p>
    <w:p w14:paraId="0DB054DB" w14:textId="77777777" w:rsidR="00CE4E55" w:rsidRDefault="00CE4E55">
      <w:pPr>
        <w:spacing w:before="5"/>
        <w:rPr>
          <w:rFonts w:ascii="Times New Roman" w:eastAsia="Times New Roman" w:hAnsi="Times New Roman" w:cs="Times New Roman"/>
          <w:sz w:val="8"/>
          <w:szCs w:val="8"/>
        </w:rPr>
      </w:pPr>
    </w:p>
    <w:p w14:paraId="40B40297" w14:textId="77777777" w:rsidR="00CE4E55" w:rsidRDefault="00555147">
      <w:pPr>
        <w:spacing w:line="150" w:lineRule="atLeast"/>
        <w:ind w:left="1846"/>
        <w:rPr>
          <w:rFonts w:ascii="Times New Roman" w:eastAsia="Times New Roman" w:hAnsi="Times New Roman" w:cs="Times New Roman"/>
          <w:sz w:val="15"/>
          <w:szCs w:val="15"/>
        </w:rPr>
      </w:pPr>
      <w:r>
        <w:rPr>
          <w:rFonts w:ascii="Times New Roman" w:eastAsia="Times New Roman" w:hAnsi="Times New Roman" w:cs="Times New Roman"/>
          <w:noProof/>
          <w:sz w:val="15"/>
          <w:szCs w:val="15"/>
        </w:rPr>
        <w:drawing>
          <wp:inline distT="0" distB="0" distL="0" distR="0" wp14:anchorId="0D27419A" wp14:editId="360C755B">
            <wp:extent cx="3996989" cy="960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996989" cy="96011"/>
                    </a:xfrm>
                    <a:prstGeom prst="rect">
                      <a:avLst/>
                    </a:prstGeom>
                  </pic:spPr>
                </pic:pic>
              </a:graphicData>
            </a:graphic>
          </wp:inline>
        </w:drawing>
      </w:r>
    </w:p>
    <w:p w14:paraId="54D43B10" w14:textId="77777777" w:rsidR="00CE4E55" w:rsidRDefault="00CE4E55">
      <w:pPr>
        <w:spacing w:before="11"/>
        <w:rPr>
          <w:rFonts w:ascii="Times New Roman" w:eastAsia="Times New Roman" w:hAnsi="Times New Roman" w:cs="Times New Roman"/>
          <w:sz w:val="10"/>
          <w:szCs w:val="10"/>
        </w:rPr>
      </w:pPr>
    </w:p>
    <w:p w14:paraId="6CEAB757" w14:textId="01C2290A" w:rsidR="00CE4E55" w:rsidRDefault="009C34B1">
      <w:pPr>
        <w:spacing w:line="20" w:lineRule="atLeas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E709CF6" wp14:editId="17B47A3D">
                <wp:extent cx="6053455" cy="7620"/>
                <wp:effectExtent l="1905" t="2540" r="2540" b="889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7620"/>
                          <a:chOff x="0" y="0"/>
                          <a:chExt cx="9533" cy="12"/>
                        </a:xfrm>
                      </wpg:grpSpPr>
                      <wpg:grpSp>
                        <wpg:cNvPr id="9" name="Group 6"/>
                        <wpg:cNvGrpSpPr>
                          <a:grpSpLocks/>
                        </wpg:cNvGrpSpPr>
                        <wpg:grpSpPr bwMode="auto">
                          <a:xfrm>
                            <a:off x="6" y="6"/>
                            <a:ext cx="9521" cy="2"/>
                            <a:chOff x="6" y="6"/>
                            <a:chExt cx="9521" cy="2"/>
                          </a:xfrm>
                        </wpg:grpSpPr>
                        <wps:wsp>
                          <wps:cNvPr id="10" name="Freeform 7"/>
                          <wps:cNvSpPr>
                            <a:spLocks/>
                          </wps:cNvSpPr>
                          <wps:spPr bwMode="auto">
                            <a:xfrm>
                              <a:off x="6" y="6"/>
                              <a:ext cx="9521" cy="2"/>
                            </a:xfrm>
                            <a:custGeom>
                              <a:avLst/>
                              <a:gdLst>
                                <a:gd name="T0" fmla="+- 0 6 6"/>
                                <a:gd name="T1" fmla="*/ T0 w 9521"/>
                                <a:gd name="T2" fmla="+- 0 9526 6"/>
                                <a:gd name="T3" fmla="*/ T2 w 9521"/>
                              </a:gdLst>
                              <a:ahLst/>
                              <a:cxnLst>
                                <a:cxn ang="0">
                                  <a:pos x="T1" y="0"/>
                                </a:cxn>
                                <a:cxn ang="0">
                                  <a:pos x="T3" y="0"/>
                                </a:cxn>
                              </a:cxnLst>
                              <a:rect l="0" t="0" r="r" b="b"/>
                              <a:pathLst>
                                <a:path w="9521">
                                  <a:moveTo>
                                    <a:pt x="0" y="0"/>
                                  </a:moveTo>
                                  <a:lnTo>
                                    <a:pt x="9520" y="0"/>
                                  </a:lnTo>
                                </a:path>
                              </a:pathLst>
                            </a:custGeom>
                            <a:noFill/>
                            <a:ln w="7620">
                              <a:solidFill>
                                <a:srgbClr val="3759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9405DA" id="Group 5" o:spid="_x0000_s1026" style="width:476.65pt;height:.6pt;mso-position-horizontal-relative:char;mso-position-vertical-relative:line" coordsize="95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">
                <v:group id="Group 6" o:spid="_x0000_s1027" style="position:absolute;left:6;top:6;width:9521;height:2" coordorigin="6,6" coordsize="9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28" style="position:absolute;left:6;top:6;width:9521;height:2;visibility:visible;mso-wrap-style:square;v-text-anchor:top" coordsize="9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" path="m,l9520,e" filled="f" strokecolor="#375989" strokeweight=".6pt">
                    <v:path arrowok="t" o:connecttype="custom" o:connectlocs="0,0;9520,0" o:connectangles="0,0"/>
                  </v:shape>
                </v:group>
                <w10:anchorlock/>
              </v:group>
            </w:pict>
          </mc:Fallback>
        </mc:AlternateContent>
      </w:r>
    </w:p>
    <w:p w14:paraId="03887F58" w14:textId="77777777" w:rsidR="00CE4E55" w:rsidRDefault="00CE4E55">
      <w:pPr>
        <w:rPr>
          <w:rFonts w:ascii="Times New Roman" w:eastAsia="Times New Roman" w:hAnsi="Times New Roman" w:cs="Times New Roman"/>
          <w:sz w:val="20"/>
          <w:szCs w:val="20"/>
        </w:rPr>
      </w:pPr>
    </w:p>
    <w:p w14:paraId="2689F477" w14:textId="77777777" w:rsidR="00CE4E55" w:rsidRDefault="00CE4E55">
      <w:pPr>
        <w:spacing w:before="6"/>
        <w:rPr>
          <w:rFonts w:ascii="Times New Roman" w:eastAsia="Times New Roman" w:hAnsi="Times New Roman" w:cs="Times New Roman"/>
          <w:sz w:val="18"/>
          <w:szCs w:val="18"/>
        </w:rPr>
      </w:pPr>
    </w:p>
    <w:p w14:paraId="19E18833" w14:textId="77777777" w:rsidR="009C34B1" w:rsidRPr="00B21ABF" w:rsidRDefault="009C34B1" w:rsidP="009C34B1">
      <w:pPr>
        <w:widowControl/>
        <w:spacing w:before="100" w:beforeAutospacing="1" w:after="100" w:afterAutospacing="1"/>
        <w:ind w:left="288"/>
        <w:jc w:val="center"/>
        <w:rPr>
          <w:rFonts w:ascii="Helvetica" w:eastAsia="Times New Roman" w:hAnsi="Helvetica" w:cs="Helvetica"/>
          <w:color w:val="222222"/>
          <w:sz w:val="23"/>
          <w:szCs w:val="23"/>
        </w:rPr>
      </w:pPr>
      <w:r w:rsidRPr="009C34B1">
        <w:rPr>
          <w:rFonts w:ascii="Helvetica" w:eastAsia="Times New Roman" w:hAnsi="Helvetica" w:cs="Helvetica"/>
          <w:b/>
          <w:color w:val="222222"/>
          <w:sz w:val="23"/>
          <w:szCs w:val="23"/>
        </w:rPr>
        <w:t>Each submission shall address the categories of information listed in paragraphs 218 – 223 of the </w:t>
      </w:r>
      <w:hyperlink r:id="rId7" w:history="1">
        <w:r w:rsidRPr="009C34B1">
          <w:rPr>
            <w:rFonts w:ascii="Helvetica" w:eastAsia="Times New Roman" w:hAnsi="Helvetica" w:cs="Helvetica"/>
            <w:b/>
            <w:i/>
            <w:iCs/>
            <w:color w:val="2C75D6"/>
            <w:sz w:val="23"/>
            <w:szCs w:val="23"/>
          </w:rPr>
          <w:t>Restoring Internet Freedom Order</w:t>
        </w:r>
      </w:hyperlink>
      <w:r w:rsidRPr="009C34B1">
        <w:rPr>
          <w:rFonts w:ascii="Helvetica" w:eastAsia="Times New Roman" w:hAnsi="Helvetica" w:cs="Helvetica"/>
          <w:b/>
          <w:color w:val="222222"/>
          <w:sz w:val="23"/>
          <w:szCs w:val="23"/>
        </w:rPr>
        <w:t> – Network Management Practices, Performance Characteristics, and Commercial Terms, as detailed below.  If the ISP does not engage in a specific activity listed below, the ISP should mark it as “Not Applicable” in its disclosure</w:t>
      </w:r>
      <w:r w:rsidRPr="00B21ABF">
        <w:rPr>
          <w:rFonts w:ascii="Helvetica" w:eastAsia="Times New Roman" w:hAnsi="Helvetica" w:cs="Helvetica"/>
          <w:color w:val="222222"/>
          <w:sz w:val="23"/>
          <w:szCs w:val="23"/>
        </w:rPr>
        <w:t>.</w:t>
      </w:r>
    </w:p>
    <w:p w14:paraId="7C32D6EE" w14:textId="77777777" w:rsidR="009C34B1" w:rsidRPr="009C34B1" w:rsidRDefault="009C34B1" w:rsidP="009C34B1">
      <w:pPr>
        <w:widowControl/>
        <w:numPr>
          <w:ilvl w:val="0"/>
          <w:numId w:val="1"/>
        </w:numPr>
        <w:spacing w:before="100" w:beforeAutospacing="1" w:after="100" w:afterAutospacing="1"/>
        <w:ind w:left="288"/>
        <w:rPr>
          <w:rFonts w:ascii="Helvetica" w:eastAsia="Times New Roman" w:hAnsi="Helvetica" w:cs="Helvetica"/>
          <w:b/>
          <w:color w:val="222222"/>
          <w:sz w:val="23"/>
          <w:szCs w:val="23"/>
        </w:rPr>
      </w:pPr>
      <w:r w:rsidRPr="009C34B1">
        <w:rPr>
          <w:rFonts w:ascii="Helvetica" w:eastAsia="Times New Roman" w:hAnsi="Helvetica" w:cs="Helvetica"/>
          <w:b/>
          <w:color w:val="222222"/>
          <w:sz w:val="23"/>
          <w:szCs w:val="23"/>
        </w:rPr>
        <w:t>Network Management Practices</w:t>
      </w:r>
    </w:p>
    <w:p w14:paraId="456C5076"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Blocking.</w:t>
      </w:r>
      <w:r w:rsidRPr="00B21ABF">
        <w:rPr>
          <w:rFonts w:ascii="Helvetica" w:eastAsia="Times New Roman" w:hAnsi="Helvetica" w:cs="Helvetica"/>
          <w:color w:val="222222"/>
          <w:sz w:val="23"/>
          <w:szCs w:val="23"/>
        </w:rPr>
        <w:t>  Any practice (other than reasonable network management elsewhere disclosed) that blocks or otherwise prevents end user access to lawful content, applications, service, or non-harmful devices, including a description of what is blocked.</w:t>
      </w:r>
    </w:p>
    <w:p w14:paraId="67579D33" w14:textId="77777777" w:rsidR="009C34B1" w:rsidRPr="00D4685A"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D4685A">
        <w:rPr>
          <w:rFonts w:ascii="Helvetica" w:eastAsia="Times New Roman" w:hAnsi="Helvetica" w:cs="Helvetica"/>
          <w:color w:val="FF0000"/>
          <w:sz w:val="23"/>
          <w:szCs w:val="23"/>
        </w:rPr>
        <w:t>Not Applicable</w:t>
      </w:r>
    </w:p>
    <w:p w14:paraId="2736A1AB"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Throttling.</w:t>
      </w:r>
      <w:r w:rsidRPr="00B21ABF">
        <w:rPr>
          <w:rFonts w:ascii="Helvetica" w:eastAsia="Times New Roman" w:hAnsi="Helvetica" w:cs="Helvetica"/>
          <w:color w:val="222222"/>
          <w:sz w:val="23"/>
          <w:szCs w:val="23"/>
        </w:rPr>
        <w:t xml:space="preserve">  Any practice (other than reasonable network management elsewhere disclosed) that degrades or impairs access to lawful Internet traffic </w:t>
      </w:r>
      <w:proofErr w:type="gramStart"/>
      <w:r w:rsidRPr="00B21ABF">
        <w:rPr>
          <w:rFonts w:ascii="Helvetica" w:eastAsia="Times New Roman" w:hAnsi="Helvetica" w:cs="Helvetica"/>
          <w:color w:val="222222"/>
          <w:sz w:val="23"/>
          <w:szCs w:val="23"/>
        </w:rPr>
        <w:t>on the basis of</w:t>
      </w:r>
      <w:proofErr w:type="gramEnd"/>
      <w:r w:rsidRPr="00B21ABF">
        <w:rPr>
          <w:rFonts w:ascii="Helvetica" w:eastAsia="Times New Roman" w:hAnsi="Helvetica" w:cs="Helvetica"/>
          <w:color w:val="222222"/>
          <w:sz w:val="23"/>
          <w:szCs w:val="23"/>
        </w:rPr>
        <w:t xml:space="preserve"> content, application, service, user, or use of a non-harmful device, including a description of what is throttled.</w:t>
      </w:r>
    </w:p>
    <w:p w14:paraId="75E4E56D"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69426B4D"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Affiliated Prioritization.</w:t>
      </w:r>
      <w:r w:rsidRPr="00B21ABF">
        <w:rPr>
          <w:rFonts w:ascii="Helvetica" w:eastAsia="Times New Roman" w:hAnsi="Helvetica" w:cs="Helvetica"/>
          <w:color w:val="222222"/>
          <w:sz w:val="23"/>
          <w:szCs w:val="23"/>
        </w:rPr>
        <w:t>  Any practice that directly or indirectly favors some traffic over other traffic, including through use of techniques such as traffic shaping, prioritization, or resource reservation, to benefit an affiliate, including identification of the affiliate.</w:t>
      </w:r>
    </w:p>
    <w:p w14:paraId="341B479C"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1596EEF6"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Paid Prioritization.</w:t>
      </w:r>
      <w:r w:rsidRPr="00B21ABF">
        <w:rPr>
          <w:rFonts w:ascii="Helvetica" w:eastAsia="Times New Roman" w:hAnsi="Helvetica" w:cs="Helvetica"/>
          <w:color w:val="222222"/>
          <w:sz w:val="23"/>
          <w:szCs w:val="23"/>
        </w:rPr>
        <w:t>  Any practice that directly or indirectly favors some traffic over other traffic, including through use of techniques such as traffic shaping, prioritization, or resource reservation, in exchange for consideration, monetary or otherwise.</w:t>
      </w:r>
    </w:p>
    <w:p w14:paraId="5A5A0B30"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4B6C16A4"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Congestion Management</w:t>
      </w:r>
      <w:r w:rsidRPr="00B21ABF">
        <w:rPr>
          <w:rFonts w:ascii="Helvetica" w:eastAsia="Times New Roman" w:hAnsi="Helvetica" w:cs="Helvetica"/>
          <w:color w:val="222222"/>
          <w:sz w:val="23"/>
          <w:szCs w:val="23"/>
        </w:rPr>
        <w:t>.  Descriptions of congestion management practices, if any.  These descriptions should include the types of traffic subject to the practices; the purposes served by the practices; the practices’ effects on end users’ experience; criteria used in practices, such as indicators of congestion that trigger a practice, including any usage limits triggering the practice, and the typical frequency of congestion; usage limits and the consequences of exceeding them; and references to engineering standards, where appropriate.</w:t>
      </w:r>
    </w:p>
    <w:p w14:paraId="0CAD6221"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729A4994"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Application-Specific Behavior</w:t>
      </w:r>
      <w:r w:rsidRPr="00B21ABF">
        <w:rPr>
          <w:rFonts w:ascii="Helvetica" w:eastAsia="Times New Roman" w:hAnsi="Helvetica" w:cs="Helvetica"/>
          <w:color w:val="222222"/>
          <w:sz w:val="23"/>
          <w:szCs w:val="23"/>
        </w:rPr>
        <w:t>.  Whether and why the ISP blocks or rate-controls specific protocols or protocol ports, modifies protocol fields in ways not prescribed by the protocol standard, or otherwise inhibits or favors certain applications or classes of applications.</w:t>
      </w:r>
    </w:p>
    <w:p w14:paraId="24059872"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Pr>
          <w:rFonts w:ascii="Helvetica" w:eastAsia="Times New Roman" w:hAnsi="Helvetica" w:cs="Helvetica"/>
          <w:iCs/>
          <w:color w:val="FF0000"/>
          <w:sz w:val="23"/>
          <w:szCs w:val="23"/>
        </w:rPr>
        <w:t>Not Applicable</w:t>
      </w:r>
    </w:p>
    <w:p w14:paraId="05B613A0"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Device Attachment Rules</w:t>
      </w:r>
      <w:r w:rsidRPr="00B21ABF">
        <w:rPr>
          <w:rFonts w:ascii="Helvetica" w:eastAsia="Times New Roman" w:hAnsi="Helvetica" w:cs="Helvetica"/>
          <w:color w:val="222222"/>
          <w:sz w:val="23"/>
          <w:szCs w:val="23"/>
        </w:rPr>
        <w:t>.  Any restrictions on the types of devices and any approval procedures for devices to connect to the network.</w:t>
      </w:r>
    </w:p>
    <w:p w14:paraId="351B9C2B"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7F42FC8D" w14:textId="77777777" w:rsidR="009C34B1" w:rsidRDefault="009C34B1" w:rsidP="009C34B1">
      <w:pPr>
        <w:widowControl/>
        <w:numPr>
          <w:ilvl w:val="0"/>
          <w:numId w:val="2"/>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Security</w:t>
      </w:r>
      <w:r w:rsidRPr="00B21ABF">
        <w:rPr>
          <w:rFonts w:ascii="Helvetica" w:eastAsia="Times New Roman" w:hAnsi="Helvetica" w:cs="Helvetica"/>
          <w:color w:val="222222"/>
          <w:sz w:val="23"/>
          <w:szCs w:val="23"/>
        </w:rPr>
        <w:t>.  Any practices used to ensure end-user security or security of the network, including types of triggering conditions that cause a mechanism to be invoked (but excluding information that could reasonably be used to circumvent network security).</w:t>
      </w:r>
    </w:p>
    <w:p w14:paraId="47DFB2BF" w14:textId="77777777" w:rsidR="009C34B1" w:rsidRPr="009B7A39" w:rsidRDefault="009C34B1" w:rsidP="009C34B1">
      <w:pPr>
        <w:pStyle w:val="ListParagraph"/>
        <w:widowControl/>
        <w:numPr>
          <w:ilvl w:val="0"/>
          <w:numId w:val="2"/>
        </w:numPr>
        <w:spacing w:before="100" w:beforeAutospacing="1" w:after="100" w:afterAutospacing="1"/>
        <w:contextualSpacing/>
        <w:rPr>
          <w:rFonts w:ascii="Helvetica" w:eastAsia="Times New Roman" w:hAnsi="Helvetica" w:cs="Helvetica"/>
          <w:color w:val="222222"/>
          <w:sz w:val="23"/>
          <w:szCs w:val="23"/>
        </w:rPr>
      </w:pPr>
      <w:r w:rsidRPr="009B7A39">
        <w:rPr>
          <w:rFonts w:ascii="Helvetica" w:eastAsia="Times New Roman" w:hAnsi="Helvetica" w:cs="Helvetica"/>
          <w:color w:val="FF0000"/>
          <w:sz w:val="23"/>
          <w:szCs w:val="23"/>
        </w:rPr>
        <w:t>Not Applicable</w:t>
      </w:r>
    </w:p>
    <w:p w14:paraId="6BD9173C" w14:textId="77777777" w:rsidR="009C34B1" w:rsidRPr="00EA7E0B" w:rsidRDefault="009C34B1" w:rsidP="009C34B1">
      <w:pPr>
        <w:widowControl/>
        <w:numPr>
          <w:ilvl w:val="0"/>
          <w:numId w:val="3"/>
        </w:numPr>
        <w:spacing w:before="100" w:beforeAutospacing="1" w:after="100" w:afterAutospacing="1"/>
        <w:ind w:left="288"/>
        <w:rPr>
          <w:rFonts w:ascii="Helvetica" w:eastAsia="Times New Roman" w:hAnsi="Helvetica" w:cs="Helvetica"/>
          <w:b/>
          <w:color w:val="222222"/>
          <w:sz w:val="23"/>
          <w:szCs w:val="23"/>
        </w:rPr>
      </w:pPr>
      <w:r w:rsidRPr="00EA7E0B">
        <w:rPr>
          <w:rFonts w:ascii="Helvetica" w:eastAsia="Times New Roman" w:hAnsi="Helvetica" w:cs="Helvetica"/>
          <w:b/>
          <w:color w:val="222222"/>
          <w:sz w:val="23"/>
          <w:szCs w:val="23"/>
        </w:rPr>
        <w:t>Performance Characteristics</w:t>
      </w:r>
    </w:p>
    <w:p w14:paraId="025D4E70" w14:textId="77777777" w:rsidR="009C34B1" w:rsidRDefault="009C34B1" w:rsidP="009C34B1">
      <w:pPr>
        <w:widowControl/>
        <w:numPr>
          <w:ilvl w:val="0"/>
          <w:numId w:val="4"/>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lastRenderedPageBreak/>
        <w:t>Service Description</w:t>
      </w:r>
      <w:r w:rsidRPr="00B21ABF">
        <w:rPr>
          <w:rFonts w:ascii="Helvetica" w:eastAsia="Times New Roman" w:hAnsi="Helvetica" w:cs="Helvetica"/>
          <w:color w:val="222222"/>
          <w:sz w:val="23"/>
          <w:szCs w:val="23"/>
        </w:rPr>
        <w:t>.  A general description of the service, including the service technology, expected and actual access speed and latency, and the suitability of the service for real-time applications.</w:t>
      </w:r>
    </w:p>
    <w:p w14:paraId="5096D90E" w14:textId="77777777" w:rsidR="009C34B1" w:rsidRDefault="009C34B1" w:rsidP="009C34B1">
      <w:pPr>
        <w:widowControl/>
        <w:numPr>
          <w:ilvl w:val="0"/>
          <w:numId w:val="4"/>
        </w:numPr>
        <w:spacing w:before="100" w:beforeAutospacing="1" w:after="100" w:afterAutospacing="1"/>
        <w:ind w:left="600"/>
        <w:rPr>
          <w:rFonts w:ascii="Helvetica" w:eastAsia="Times New Roman" w:hAnsi="Helvetica" w:cs="Helvetica"/>
          <w:color w:val="222222"/>
          <w:sz w:val="23"/>
          <w:szCs w:val="23"/>
        </w:rPr>
      </w:pPr>
      <w:r>
        <w:rPr>
          <w:rFonts w:ascii="Helvetica" w:eastAsia="Times New Roman" w:hAnsi="Helvetica" w:cs="Helvetica"/>
          <w:i/>
          <w:iCs/>
          <w:color w:val="FF0000"/>
          <w:sz w:val="23"/>
          <w:szCs w:val="23"/>
        </w:rPr>
        <w:t>NGN offers internet service to residential and small business subscribers up to 1Gbps through a 100% fiber to the home network.  NGN has both Active Ethernet and GPON fiber networks deployed to deliver up to 1Gbps of service and all subscribers should expect to receive the amount of bandwidth they are paying for regardless of the time of day.  Latency to most all domestic internet websites should be less than 50ms and less than 300ms internationally.  NGN can deliver up to 100Gbps of internet connectivity through specialized equipment on a case by case basis for any customer requesting such service.</w:t>
      </w:r>
    </w:p>
    <w:p w14:paraId="4611DB09" w14:textId="77777777" w:rsidR="009C34B1" w:rsidRPr="00B21ABF" w:rsidRDefault="009C34B1" w:rsidP="009C34B1">
      <w:pPr>
        <w:widowControl/>
        <w:numPr>
          <w:ilvl w:val="1"/>
          <w:numId w:val="4"/>
        </w:numPr>
        <w:spacing w:before="100" w:beforeAutospacing="1" w:after="100" w:afterAutospacing="1"/>
        <w:rPr>
          <w:rFonts w:ascii="Helvetica" w:eastAsia="Times New Roman" w:hAnsi="Helvetica" w:cs="Helvetica"/>
          <w:color w:val="222222"/>
          <w:sz w:val="23"/>
          <w:szCs w:val="23"/>
        </w:rPr>
      </w:pPr>
    </w:p>
    <w:p w14:paraId="360CB6CC" w14:textId="77777777" w:rsidR="009C34B1" w:rsidRDefault="009C34B1" w:rsidP="009C34B1">
      <w:pPr>
        <w:widowControl/>
        <w:numPr>
          <w:ilvl w:val="0"/>
          <w:numId w:val="4"/>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Impact of Non-Broadband Internet Access Service Data Services</w:t>
      </w:r>
      <w:r w:rsidRPr="00B21ABF">
        <w:rPr>
          <w:rFonts w:ascii="Helvetica" w:eastAsia="Times New Roman" w:hAnsi="Helvetica" w:cs="Helvetica"/>
          <w:color w:val="222222"/>
          <w:sz w:val="23"/>
          <w:szCs w:val="23"/>
        </w:rPr>
        <w:t>.  If applicable, what non-broadband Internet access service data services, if any, are offered to end users, and whether and how any non-broadband Internet access service data services may affect the last-mile capacity available for, and the performance of, broadband Internet access service</w:t>
      </w:r>
      <w:r>
        <w:rPr>
          <w:rFonts w:ascii="Helvetica" w:eastAsia="Times New Roman" w:hAnsi="Helvetica" w:cs="Helvetica"/>
          <w:color w:val="222222"/>
          <w:sz w:val="23"/>
          <w:szCs w:val="23"/>
        </w:rPr>
        <w:t>.</w:t>
      </w:r>
    </w:p>
    <w:p w14:paraId="20CD7160" w14:textId="77777777" w:rsidR="009C34B1" w:rsidRPr="00D4685A" w:rsidRDefault="009C34B1" w:rsidP="009C34B1">
      <w:pPr>
        <w:widowControl/>
        <w:numPr>
          <w:ilvl w:val="0"/>
          <w:numId w:val="4"/>
        </w:numPr>
        <w:spacing w:before="100" w:beforeAutospacing="1" w:after="100" w:afterAutospacing="1"/>
        <w:ind w:left="600"/>
        <w:rPr>
          <w:rFonts w:ascii="Helvetica" w:eastAsia="Times New Roman" w:hAnsi="Helvetica" w:cs="Helvetica"/>
          <w:color w:val="222222"/>
          <w:sz w:val="23"/>
          <w:szCs w:val="23"/>
        </w:rPr>
      </w:pPr>
      <w:r>
        <w:rPr>
          <w:rFonts w:ascii="Helvetica" w:eastAsia="Times New Roman" w:hAnsi="Helvetica" w:cs="Helvetica"/>
          <w:iCs/>
          <w:color w:val="FF0000"/>
          <w:sz w:val="23"/>
          <w:szCs w:val="23"/>
        </w:rPr>
        <w:t>Not Applicable</w:t>
      </w:r>
    </w:p>
    <w:p w14:paraId="04832B5F" w14:textId="77777777" w:rsidR="009C34B1" w:rsidRPr="009C34B1" w:rsidRDefault="009C34B1" w:rsidP="009C34B1">
      <w:pPr>
        <w:widowControl/>
        <w:numPr>
          <w:ilvl w:val="0"/>
          <w:numId w:val="5"/>
        </w:numPr>
        <w:spacing w:before="100" w:beforeAutospacing="1" w:after="100" w:afterAutospacing="1"/>
        <w:ind w:left="288"/>
        <w:rPr>
          <w:rFonts w:ascii="Helvetica" w:eastAsia="Times New Roman" w:hAnsi="Helvetica" w:cs="Helvetica"/>
          <w:b/>
          <w:color w:val="222222"/>
          <w:sz w:val="23"/>
          <w:szCs w:val="23"/>
        </w:rPr>
      </w:pPr>
      <w:r w:rsidRPr="009C34B1">
        <w:rPr>
          <w:rFonts w:ascii="Helvetica" w:eastAsia="Times New Roman" w:hAnsi="Helvetica" w:cs="Helvetica"/>
          <w:b/>
          <w:color w:val="222222"/>
          <w:sz w:val="23"/>
          <w:szCs w:val="23"/>
        </w:rPr>
        <w:t>Commercial Terms</w:t>
      </w:r>
    </w:p>
    <w:p w14:paraId="37239788" w14:textId="77777777" w:rsidR="009C34B1" w:rsidRDefault="009C34B1" w:rsidP="009C34B1">
      <w:pPr>
        <w:widowControl/>
        <w:numPr>
          <w:ilvl w:val="0"/>
          <w:numId w:val="6"/>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Price</w:t>
      </w:r>
      <w:r w:rsidRPr="00B21ABF">
        <w:rPr>
          <w:rFonts w:ascii="Helvetica" w:eastAsia="Times New Roman" w:hAnsi="Helvetica" w:cs="Helvetica"/>
          <w:color w:val="222222"/>
          <w:sz w:val="23"/>
          <w:szCs w:val="23"/>
        </w:rPr>
        <w:t>.  For example, monthly prices, usage-based fees, and fees for early termination or additional network services.</w:t>
      </w:r>
    </w:p>
    <w:p w14:paraId="6B7902D6" w14:textId="77777777" w:rsidR="009C34B1" w:rsidRPr="002E1B35" w:rsidRDefault="009C34B1" w:rsidP="009C34B1">
      <w:pPr>
        <w:widowControl/>
        <w:numPr>
          <w:ilvl w:val="1"/>
          <w:numId w:val="6"/>
        </w:numPr>
        <w:spacing w:before="100" w:beforeAutospacing="1" w:after="100" w:afterAutospacing="1"/>
        <w:rPr>
          <w:rFonts w:ascii="Helvetica" w:eastAsia="Times New Roman" w:hAnsi="Helvetica" w:cs="Helvetica"/>
          <w:color w:val="FF0000"/>
          <w:sz w:val="23"/>
          <w:szCs w:val="23"/>
        </w:rPr>
      </w:pPr>
      <w:r w:rsidRPr="002E1B35">
        <w:rPr>
          <w:rFonts w:ascii="Helvetica" w:eastAsia="Times New Roman" w:hAnsi="Helvetica" w:cs="Helvetica"/>
          <w:i/>
          <w:iCs/>
          <w:color w:val="FF0000"/>
          <w:sz w:val="23"/>
          <w:szCs w:val="23"/>
        </w:rPr>
        <w:t>Residential 100Mbps Data Plan</w:t>
      </w:r>
      <w:r w:rsidRPr="002E1B35">
        <w:rPr>
          <w:rFonts w:ascii="Helvetica" w:eastAsia="Times New Roman" w:hAnsi="Helvetica" w:cs="Helvetica"/>
          <w:color w:val="FF0000"/>
          <w:sz w:val="23"/>
          <w:szCs w:val="23"/>
        </w:rPr>
        <w:t>- $49.95</w:t>
      </w:r>
    </w:p>
    <w:p w14:paraId="1C6EC20E" w14:textId="77777777" w:rsidR="009C34B1" w:rsidRPr="002E1B35" w:rsidRDefault="009C34B1" w:rsidP="009C34B1">
      <w:pPr>
        <w:widowControl/>
        <w:numPr>
          <w:ilvl w:val="1"/>
          <w:numId w:val="6"/>
        </w:numPr>
        <w:spacing w:before="100" w:beforeAutospacing="1" w:after="100" w:afterAutospacing="1"/>
        <w:rPr>
          <w:rFonts w:ascii="Helvetica" w:eastAsia="Times New Roman" w:hAnsi="Helvetica" w:cs="Helvetica"/>
          <w:color w:val="FF0000"/>
          <w:sz w:val="23"/>
          <w:szCs w:val="23"/>
        </w:rPr>
      </w:pPr>
      <w:r w:rsidRPr="002E1B35">
        <w:rPr>
          <w:rFonts w:ascii="Helvetica" w:eastAsia="Times New Roman" w:hAnsi="Helvetica" w:cs="Helvetica"/>
          <w:color w:val="FF0000"/>
          <w:sz w:val="23"/>
          <w:szCs w:val="23"/>
        </w:rPr>
        <w:t>Residential 1Gpbs Data Plan- $79.95</w:t>
      </w:r>
    </w:p>
    <w:p w14:paraId="601765BB" w14:textId="77777777" w:rsidR="009C34B1" w:rsidRDefault="009C34B1" w:rsidP="009C34B1">
      <w:pPr>
        <w:widowControl/>
        <w:numPr>
          <w:ilvl w:val="0"/>
          <w:numId w:val="6"/>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Privacy Policies</w:t>
      </w:r>
      <w:r w:rsidRPr="00B21ABF">
        <w:rPr>
          <w:rFonts w:ascii="Helvetica" w:eastAsia="Times New Roman" w:hAnsi="Helvetica" w:cs="Helvetica"/>
          <w:color w:val="222222"/>
          <w:sz w:val="23"/>
          <w:szCs w:val="23"/>
        </w:rPr>
        <w:t>.  A complete and accurate disclosure about the ISP’s privacy practices, if any.  For example, whether any network management practices entail inspection of network traffic, and whether traffic is stored, provided to third parties, or used by the ISP for non-network management purposes.</w:t>
      </w:r>
    </w:p>
    <w:p w14:paraId="7CA69E2E" w14:textId="6B1DEE24" w:rsidR="009C34B1" w:rsidRPr="007156B6" w:rsidRDefault="009C34B1" w:rsidP="009C34B1">
      <w:pPr>
        <w:widowControl/>
        <w:numPr>
          <w:ilvl w:val="1"/>
          <w:numId w:val="6"/>
        </w:numPr>
        <w:spacing w:before="100" w:beforeAutospacing="1" w:after="100" w:afterAutospacing="1"/>
        <w:rPr>
          <w:rFonts w:ascii="Helvetica" w:eastAsia="Times New Roman" w:hAnsi="Helvetica" w:cs="Helvetica"/>
          <w:color w:val="FF0000"/>
          <w:sz w:val="23"/>
          <w:szCs w:val="23"/>
        </w:rPr>
      </w:pPr>
      <w:r w:rsidRPr="007156B6">
        <w:rPr>
          <w:rFonts w:ascii="Helvetica" w:eastAsia="Times New Roman" w:hAnsi="Helvetica" w:cs="Helvetica"/>
          <w:color w:val="FF0000"/>
          <w:sz w:val="23"/>
          <w:szCs w:val="23"/>
        </w:rPr>
        <w:t xml:space="preserve">We collect and use information when you interact with us, when you use our services, and when you visit our website. This information is used to deliver, provide and repair </w:t>
      </w:r>
      <w:r w:rsidR="00B92B23">
        <w:rPr>
          <w:rFonts w:ascii="Helvetica" w:eastAsia="Times New Roman" w:hAnsi="Helvetica" w:cs="Helvetica"/>
          <w:color w:val="FF0000"/>
          <w:sz w:val="23"/>
          <w:szCs w:val="23"/>
        </w:rPr>
        <w:t xml:space="preserve">our </w:t>
      </w:r>
      <w:r w:rsidRPr="007156B6">
        <w:rPr>
          <w:rFonts w:ascii="Helvetica" w:eastAsia="Times New Roman" w:hAnsi="Helvetica" w:cs="Helvetica"/>
          <w:color w:val="FF0000"/>
          <w:sz w:val="23"/>
          <w:szCs w:val="23"/>
        </w:rPr>
        <w:t>services; establish and maintain customer accounts and billing records.  Habersham EMC does not sell, license or share information that individually identifies our customers with others outside of Habersham EMC who are not doing work on Habersham EMC’s behalf without your consent. We may share information with our vendors and partners for business purposes and when necessary for them to perform work on our behalf.</w:t>
      </w:r>
    </w:p>
    <w:p w14:paraId="1F0F5674" w14:textId="77777777" w:rsidR="009C34B1" w:rsidRDefault="009C34B1" w:rsidP="009C34B1">
      <w:pPr>
        <w:widowControl/>
        <w:numPr>
          <w:ilvl w:val="0"/>
          <w:numId w:val="6"/>
        </w:numPr>
        <w:spacing w:before="100" w:beforeAutospacing="1" w:after="100" w:afterAutospacing="1"/>
        <w:ind w:left="600"/>
        <w:rPr>
          <w:rFonts w:ascii="Helvetica" w:eastAsia="Times New Roman" w:hAnsi="Helvetica" w:cs="Helvetica"/>
          <w:color w:val="222222"/>
          <w:sz w:val="23"/>
          <w:szCs w:val="23"/>
        </w:rPr>
      </w:pPr>
      <w:r w:rsidRPr="00B21ABF">
        <w:rPr>
          <w:rFonts w:ascii="Helvetica" w:eastAsia="Times New Roman" w:hAnsi="Helvetica" w:cs="Helvetica"/>
          <w:i/>
          <w:iCs/>
          <w:color w:val="222222"/>
          <w:sz w:val="23"/>
          <w:szCs w:val="23"/>
        </w:rPr>
        <w:t>Redress Options</w:t>
      </w:r>
      <w:r w:rsidRPr="00B21ABF">
        <w:rPr>
          <w:rFonts w:ascii="Helvetica" w:eastAsia="Times New Roman" w:hAnsi="Helvetica" w:cs="Helvetica"/>
          <w:color w:val="222222"/>
          <w:sz w:val="23"/>
          <w:szCs w:val="23"/>
        </w:rPr>
        <w:t>.  Practices for resolving complaints and questions from consumers, entrepreneurs, and other small businesses.</w:t>
      </w:r>
    </w:p>
    <w:p w14:paraId="2A7470D7" w14:textId="70C51D26" w:rsidR="009C34B1" w:rsidRPr="007156B6" w:rsidRDefault="009C34B1" w:rsidP="009C34B1">
      <w:pPr>
        <w:widowControl/>
        <w:numPr>
          <w:ilvl w:val="1"/>
          <w:numId w:val="6"/>
        </w:numPr>
        <w:spacing w:before="100" w:beforeAutospacing="1" w:after="100" w:afterAutospacing="1"/>
        <w:rPr>
          <w:rFonts w:ascii="Helvetica" w:eastAsia="Times New Roman" w:hAnsi="Helvetica" w:cs="Helvetica"/>
          <w:color w:val="FF0000"/>
          <w:sz w:val="23"/>
          <w:szCs w:val="23"/>
        </w:rPr>
      </w:pPr>
      <w:r w:rsidRPr="007156B6">
        <w:rPr>
          <w:rFonts w:ascii="Helvetica" w:eastAsia="Times New Roman" w:hAnsi="Helvetica" w:cs="Helvetica"/>
          <w:color w:val="FF0000"/>
          <w:sz w:val="23"/>
          <w:szCs w:val="23"/>
        </w:rPr>
        <w:t>Redress – generally, the subscriber calls/visits office/emails with complaints or questions. The CSR answers general questions, elevated Tier 1 would go to the Call Center Supervisor, elevated Tier 2 would</w:t>
      </w:r>
      <w:r w:rsidR="00C66B18">
        <w:rPr>
          <w:rFonts w:ascii="Helvetica" w:eastAsia="Times New Roman" w:hAnsi="Helvetica" w:cs="Helvetica"/>
          <w:color w:val="FF0000"/>
          <w:sz w:val="23"/>
          <w:szCs w:val="23"/>
        </w:rPr>
        <w:t xml:space="preserve"> go to VP of Technology and Services</w:t>
      </w:r>
      <w:r w:rsidRPr="007156B6">
        <w:rPr>
          <w:rFonts w:ascii="Helvetica" w:eastAsia="Times New Roman" w:hAnsi="Helvetica" w:cs="Helvetica"/>
          <w:color w:val="FF0000"/>
          <w:sz w:val="23"/>
          <w:szCs w:val="23"/>
        </w:rPr>
        <w:t xml:space="preserve"> (if business) or </w:t>
      </w:r>
      <w:r w:rsidR="00C66B18">
        <w:rPr>
          <w:rFonts w:ascii="Helvetica" w:eastAsia="Times New Roman" w:hAnsi="Helvetica" w:cs="Helvetica"/>
          <w:color w:val="FF0000"/>
          <w:sz w:val="23"/>
          <w:szCs w:val="23"/>
        </w:rPr>
        <w:t>Manager</w:t>
      </w:r>
      <w:bookmarkStart w:id="0" w:name="_GoBack"/>
      <w:bookmarkEnd w:id="0"/>
      <w:r w:rsidRPr="007156B6">
        <w:rPr>
          <w:rFonts w:ascii="Helvetica" w:eastAsia="Times New Roman" w:hAnsi="Helvetica" w:cs="Helvetica"/>
          <w:color w:val="FF0000"/>
          <w:sz w:val="23"/>
          <w:szCs w:val="23"/>
        </w:rPr>
        <w:t xml:space="preserve"> (residential or installation issue). At Tier 1 and 2, the issue is </w:t>
      </w:r>
      <w:r w:rsidR="00B92B23" w:rsidRPr="007156B6">
        <w:rPr>
          <w:rFonts w:ascii="Helvetica" w:eastAsia="Times New Roman" w:hAnsi="Helvetica" w:cs="Helvetica"/>
          <w:color w:val="FF0000"/>
          <w:sz w:val="23"/>
          <w:szCs w:val="23"/>
        </w:rPr>
        <w:t>researched,</w:t>
      </w:r>
      <w:r w:rsidRPr="007156B6">
        <w:rPr>
          <w:rFonts w:ascii="Helvetica" w:eastAsia="Times New Roman" w:hAnsi="Helvetica" w:cs="Helvetica"/>
          <w:color w:val="FF0000"/>
          <w:sz w:val="23"/>
          <w:szCs w:val="23"/>
        </w:rPr>
        <w:t xml:space="preserve"> and the subscriber is contacted.</w:t>
      </w:r>
    </w:p>
    <w:p w14:paraId="3E5BC760" w14:textId="77777777" w:rsidR="00CE4E55" w:rsidRDefault="00CE4E55">
      <w:pPr>
        <w:rPr>
          <w:rFonts w:ascii="Calibri" w:eastAsia="Calibri" w:hAnsi="Calibri" w:cs="Calibri"/>
          <w:sz w:val="20"/>
          <w:szCs w:val="20"/>
        </w:rPr>
      </w:pPr>
    </w:p>
    <w:p w14:paraId="61FC8DB5" w14:textId="77777777" w:rsidR="00CE4E55" w:rsidRDefault="00CE4E55">
      <w:pPr>
        <w:rPr>
          <w:rFonts w:ascii="Calibri" w:eastAsia="Calibri" w:hAnsi="Calibri" w:cs="Calibri"/>
          <w:sz w:val="20"/>
          <w:szCs w:val="20"/>
        </w:rPr>
      </w:pPr>
    </w:p>
    <w:p w14:paraId="30D53ECF" w14:textId="77777777" w:rsidR="00CE4E55" w:rsidRDefault="00CE4E55">
      <w:pPr>
        <w:rPr>
          <w:rFonts w:ascii="Calibri" w:eastAsia="Calibri" w:hAnsi="Calibri" w:cs="Calibri"/>
          <w:sz w:val="20"/>
          <w:szCs w:val="20"/>
        </w:rPr>
      </w:pPr>
    </w:p>
    <w:p w14:paraId="7FD74DCF" w14:textId="77777777" w:rsidR="00CE4E55" w:rsidRDefault="00CE4E55">
      <w:pPr>
        <w:rPr>
          <w:rFonts w:ascii="Calibri" w:eastAsia="Calibri" w:hAnsi="Calibri" w:cs="Calibri"/>
          <w:sz w:val="20"/>
          <w:szCs w:val="20"/>
        </w:rPr>
      </w:pPr>
    </w:p>
    <w:p w14:paraId="01D0EA66" w14:textId="77777777" w:rsidR="00CE4E55" w:rsidRDefault="00CE4E55">
      <w:pPr>
        <w:rPr>
          <w:rFonts w:ascii="Calibri" w:eastAsia="Calibri" w:hAnsi="Calibri" w:cs="Calibri"/>
          <w:sz w:val="20"/>
          <w:szCs w:val="20"/>
        </w:rPr>
      </w:pPr>
    </w:p>
    <w:p w14:paraId="46BD099F" w14:textId="77777777" w:rsidR="00CE4E55" w:rsidRDefault="00CE4E55">
      <w:pPr>
        <w:rPr>
          <w:rFonts w:ascii="Calibri" w:eastAsia="Calibri" w:hAnsi="Calibri" w:cs="Calibri"/>
          <w:sz w:val="20"/>
          <w:szCs w:val="20"/>
        </w:rPr>
      </w:pPr>
    </w:p>
    <w:p w14:paraId="5D26E5F0" w14:textId="77777777" w:rsidR="00CE4E55" w:rsidRDefault="00CE4E55">
      <w:pPr>
        <w:rPr>
          <w:rFonts w:ascii="Calibri" w:eastAsia="Calibri" w:hAnsi="Calibri" w:cs="Calibri"/>
          <w:sz w:val="20"/>
          <w:szCs w:val="20"/>
        </w:rPr>
      </w:pPr>
    </w:p>
    <w:p w14:paraId="38501C7A" w14:textId="77777777" w:rsidR="00CE4E55" w:rsidRDefault="00CE4E55">
      <w:pPr>
        <w:spacing w:before="4"/>
        <w:rPr>
          <w:rFonts w:ascii="Calibri" w:eastAsia="Calibri" w:hAnsi="Calibri" w:cs="Calibri"/>
          <w:sz w:val="17"/>
          <w:szCs w:val="17"/>
        </w:rPr>
      </w:pPr>
    </w:p>
    <w:p w14:paraId="74614A8F" w14:textId="57A353CA" w:rsidR="00CE4E55" w:rsidRDefault="009C34B1">
      <w:pPr>
        <w:spacing w:line="20" w:lineRule="atLeast"/>
        <w:ind w:left="10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7A57E042" wp14:editId="42B93E99">
                <wp:extent cx="6089015" cy="7620"/>
                <wp:effectExtent l="1905" t="1270" r="5080" b="1016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7620"/>
                          <a:chOff x="0" y="0"/>
                          <a:chExt cx="9589" cy="12"/>
                        </a:xfrm>
                      </wpg:grpSpPr>
                      <wpg:grpSp>
                        <wpg:cNvPr id="6" name="Group 3"/>
                        <wpg:cNvGrpSpPr>
                          <a:grpSpLocks/>
                        </wpg:cNvGrpSpPr>
                        <wpg:grpSpPr bwMode="auto">
                          <a:xfrm>
                            <a:off x="6" y="6"/>
                            <a:ext cx="9577" cy="2"/>
                            <a:chOff x="6" y="6"/>
                            <a:chExt cx="9577" cy="2"/>
                          </a:xfrm>
                        </wpg:grpSpPr>
                        <wps:wsp>
                          <wps:cNvPr id="7" name="Freeform 4"/>
                          <wps:cNvSpPr>
                            <a:spLocks/>
                          </wps:cNvSpPr>
                          <wps:spPr bwMode="auto">
                            <a:xfrm>
                              <a:off x="6" y="6"/>
                              <a:ext cx="9577" cy="2"/>
                            </a:xfrm>
                            <a:custGeom>
                              <a:avLst/>
                              <a:gdLst>
                                <a:gd name="T0" fmla="+- 0 6 6"/>
                                <a:gd name="T1" fmla="*/ T0 w 9577"/>
                                <a:gd name="T2" fmla="+- 0 9583 6"/>
                                <a:gd name="T3" fmla="*/ T2 w 9577"/>
                              </a:gdLst>
                              <a:ahLst/>
                              <a:cxnLst>
                                <a:cxn ang="0">
                                  <a:pos x="T1" y="0"/>
                                </a:cxn>
                                <a:cxn ang="0">
                                  <a:pos x="T3" y="0"/>
                                </a:cxn>
                              </a:cxnLst>
                              <a:rect l="0" t="0" r="r" b="b"/>
                              <a:pathLst>
                                <a:path w="9577">
                                  <a:moveTo>
                                    <a:pt x="0" y="0"/>
                                  </a:moveTo>
                                  <a:lnTo>
                                    <a:pt x="9577" y="0"/>
                                  </a:lnTo>
                                </a:path>
                              </a:pathLst>
                            </a:custGeom>
                            <a:noFill/>
                            <a:ln w="7620">
                              <a:solidFill>
                                <a:srgbClr val="3759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04571D" id="Group 2" o:spid="_x0000_s1026" style="width:479.45pt;height:.6pt;mso-position-horizontal-relative:char;mso-position-vertical-relative:line" coordsize="95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">
                <v:group id="Group 3" o:spid="_x0000_s1027" style="position:absolute;left:6;top:6;width:9577;height:2" coordorigin="6,6" coordsize="9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6;top:6;width:9577;height:2;visibility:visible;mso-wrap-style:square;v-text-anchor:top" coordsize="9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" path="m,l9577,e" filled="f" strokecolor="#375989" strokeweight=".6pt">
                    <v:path arrowok="t" o:connecttype="custom" o:connectlocs="0,0;9577,0" o:connectangles="0,0"/>
                  </v:shape>
                </v:group>
                <w10:anchorlock/>
              </v:group>
            </w:pict>
          </mc:Fallback>
        </mc:AlternateContent>
      </w:r>
    </w:p>
    <w:p w14:paraId="537652C6" w14:textId="77777777" w:rsidR="00CE4E55" w:rsidRDefault="00CE4E55">
      <w:pPr>
        <w:spacing w:before="6"/>
        <w:rPr>
          <w:rFonts w:ascii="Calibri" w:eastAsia="Calibri" w:hAnsi="Calibri" w:cs="Calibri"/>
          <w:sz w:val="8"/>
          <w:szCs w:val="8"/>
        </w:rPr>
      </w:pPr>
    </w:p>
    <w:p w14:paraId="7D525576" w14:textId="77777777" w:rsidR="00CE4E55" w:rsidRDefault="00555147">
      <w:pPr>
        <w:spacing w:line="200" w:lineRule="atLeast"/>
        <w:ind w:left="160"/>
        <w:rPr>
          <w:rFonts w:ascii="Calibri" w:eastAsia="Calibri" w:hAnsi="Calibri" w:cs="Calibri"/>
          <w:sz w:val="20"/>
          <w:szCs w:val="20"/>
        </w:rPr>
      </w:pPr>
      <w:r>
        <w:rPr>
          <w:rFonts w:ascii="Calibri" w:eastAsia="Calibri" w:hAnsi="Calibri" w:cs="Calibri"/>
          <w:noProof/>
          <w:sz w:val="20"/>
          <w:szCs w:val="20"/>
        </w:rPr>
        <w:drawing>
          <wp:inline distT="0" distB="0" distL="0" distR="0" wp14:anchorId="18434DD9" wp14:editId="690E39B3">
            <wp:extent cx="1980305" cy="2238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980305" cy="223837"/>
                    </a:xfrm>
                    <a:prstGeom prst="rect">
                      <a:avLst/>
                    </a:prstGeom>
                  </pic:spPr>
                </pic:pic>
              </a:graphicData>
            </a:graphic>
          </wp:inline>
        </w:drawing>
      </w:r>
    </w:p>
    <w:sectPr w:rsidR="00CE4E55">
      <w:type w:val="continuous"/>
      <w:pgSz w:w="12240" w:h="15840"/>
      <w:pgMar w:top="420" w:right="98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ED7"/>
    <w:multiLevelType w:val="multilevel"/>
    <w:tmpl w:val="E90E8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942D4"/>
    <w:multiLevelType w:val="multilevel"/>
    <w:tmpl w:val="E9C60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A7331"/>
    <w:multiLevelType w:val="multilevel"/>
    <w:tmpl w:val="FB580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2064E"/>
    <w:multiLevelType w:val="multilevel"/>
    <w:tmpl w:val="39E42D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AB0ED3"/>
    <w:multiLevelType w:val="multilevel"/>
    <w:tmpl w:val="DD7C7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12B1A"/>
    <w:multiLevelType w:val="multilevel"/>
    <w:tmpl w:val="8C0ACE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343EBF"/>
    <w:multiLevelType w:val="multilevel"/>
    <w:tmpl w:val="C2B424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55"/>
    <w:rsid w:val="00190850"/>
    <w:rsid w:val="00555147"/>
    <w:rsid w:val="009C34B1"/>
    <w:rsid w:val="00B5736F"/>
    <w:rsid w:val="00B92B23"/>
    <w:rsid w:val="00C66B18"/>
    <w:rsid w:val="00CE4E55"/>
    <w:rsid w:val="00EA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EAA7"/>
  <w15:docId w15:val="{132CDF68-FFF3-4251-9047-7F56CAC0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9"/>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fcc.gov/public/attachments/FCC-17-166A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HEMC_Letterhead</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HEMC_Letterhead</dc:title>
  <dc:creator>Glenn Purcell</dc:creator>
  <cp:lastModifiedBy>Glenn Purcell</cp:lastModifiedBy>
  <cp:revision>5</cp:revision>
  <dcterms:created xsi:type="dcterms:W3CDTF">2018-06-12T17:55:00Z</dcterms:created>
  <dcterms:modified xsi:type="dcterms:W3CDTF">2018-06-12T18:25:00Z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2017-10-06T00:00:00Z</vt:filetime>
  </property>
  <property fmtid="{D5CDD505-2E9C-101B-9397-08002B2CF9AE}" pid="3" name="LastSaved">
    <vt:filetime>2018-06-05T00:00:00Z</vt:filetime>
  </property>
</Properties>
</file>