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For Your Tax Professional</w:t>
        <w:br/>
        <w:t>Cost Segregation &amp; STR Depreciation — Technical Brief</w:t>
      </w:r>
    </w:p>
    <w:p>
      <w:pPr>
        <w:pStyle w:val="Heading2"/>
      </w:pPr>
      <w:r>
        <w:t>What Is Cost Segregation?</w:t>
      </w:r>
    </w:p>
    <w:p>
      <w:r>
        <w:t>Cost segregation is an IRS-accepted tax strategy that reclassifies components of real property into shorter depreciable asset classes — allowing accelerated depreciation deductions in the early years of ownership. Studies are conducted by qualified engineers and tax professionals using engineering-based methodologies consistent with IRS guidance in the Cost Segregation Audit Techniques Guide (2022 rev.).</w:t>
      </w:r>
    </w:p>
    <w:p>
      <w:pPr>
        <w:pStyle w:val="Heading2"/>
      </w:pPr>
      <w:r>
        <w:t>Accelerated Depreciation — IRC §168 (MACRS)</w:t>
      </w:r>
    </w:p>
    <w:p>
      <w:r>
        <w:t>Under the Modified Accelerated Cost Recovery System, building components are reclassified from the default 27.5-year residential rental schedule into shorter recovery periods:</w:t>
      </w:r>
    </w:p>
    <w:p>
      <w:r>
        <w:t>• Personal Property (5-year): Appliances, carpeting, cabinetry, decorative lighting, furniture, window treatments</w:t>
        <w:br/>
        <w:t>• Land Improvements (15-year): Landscaping, paving, fencing, outdoor lighting, sidewalks, drainage</w:t>
        <w:br/>
        <w:t>• Certain Components (7-year): Security systems, specialty fixtures, theme/design elements</w:t>
      </w:r>
    </w:p>
    <w:p>
      <w:r>
        <w:t>Typical cost segregation studies reclassify 20–40% of a residential property's purchase price into these accelerated categories.</w:t>
      </w:r>
    </w:p>
    <w:p>
      <w:pPr>
        <w:pStyle w:val="Heading2"/>
      </w:pPr>
      <w:r>
        <w:t>Bonus Depreciation — IRC §168(k)</w:t>
      </w:r>
    </w:p>
    <w:p>
      <w:r>
        <w:t>Section 168(k) permits additional first-year depreciation on qualifying property with a recovery period of 20 years or less.</w:t>
      </w:r>
    </w:p>
    <w:p>
      <w:r>
        <w:t>Phaseout Schedule (Tax Cuts and Jobs Act of 2017):</w:t>
        <w:br/>
        <w:t>• 2023: 80%</w:t>
        <w:br/>
        <w:t>• 2024: 60%</w:t>
        <w:br/>
        <w:t>• 2025: 40%</w:t>
        <w:br/>
        <w:t>• 2026: 20%</w:t>
        <w:br/>
        <w:t>• 2027: 0%</w:t>
      </w:r>
    </w:p>
    <w:p>
      <w:r>
        <w:t>[VERIFY: Legislative proposals may extend or modify this schedule. Confirm current status before advising clients.]</w:t>
      </w:r>
    </w:p>
    <w:p>
      <w:r>
        <w:t>Example: On a $650,000 property where cost segregation identifies $260,000 in accelerable assets (40%), a client in the 37% bracket would realize approximately $19,240 in first-year tax savings at the 2026 rate of 20%.</w:t>
      </w:r>
    </w:p>
    <w:p>
      <w:pPr>
        <w:pStyle w:val="Heading2"/>
      </w:pPr>
      <w:r>
        <w:t>Real Estate Professional Status (REPS) — IRC §469</w:t>
      </w:r>
    </w:p>
    <w:p>
      <w:r>
        <w:t>Passive activity loss rules under IRC §469 generally prevent taxpayers from using rental losses to offset W-2 or active business income. However, taxpayers who qualify as Real Estate Professionals may treat rental activities as non-passive.</w:t>
      </w:r>
    </w:p>
    <w:p>
      <w:r>
        <w:t>REPS Qualification Criteria:</w:t>
        <w:br/>
        <w:t>• 750+ hours in real property trades or businesses during the tax year</w:t>
        <w:br/>
        <w:t>• More than 50% of personal services performed in real property trades or businesses</w:t>
        <w:br/>
        <w:t>• Material participation in each rental activity (or election to aggregate under Reg. §1.469-9(g))</w:t>
      </w:r>
    </w:p>
    <w:p>
      <w:pPr>
        <w:pStyle w:val="Heading2"/>
      </w:pPr>
      <w:r>
        <w:t>Short-Term Rental Exception — Reg. §1.469-1T(e)(3)(ii)</w:t>
      </w:r>
    </w:p>
    <w:p>
      <w:r>
        <w:t>Rentals with an average customer use period of 7 days or less are NOT treated as rental activities under IRC §469. This means STR losses may be classified as non-passive without REPS qualification — provided the taxpayer materially participates.</w:t>
      </w:r>
    </w:p>
    <w:p>
      <w:r>
        <w:t>This is the mechanism that allows W-2 earners to use STR depreciation losses to directly offset ordinary income.</w:t>
      </w:r>
    </w:p>
    <w:p>
      <w:pPr>
        <w:pStyle w:val="Heading2"/>
      </w:pPr>
      <w:r>
        <w:t>About Double My Rental</w:t>
      </w:r>
    </w:p>
    <w:p>
      <w:r>
        <w:t>Double My Rental (DMR) provides end-to-end short-term rental investment services: property sourcing, acquisition support, interior design, and ongoing 24/7 property management across 16 states.</w:t>
      </w:r>
    </w:p>
    <w:p>
      <w:r>
        <w:t>Contact: doublemyrental.com | calendly.com/chitabnb/60min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