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High-Earner's Guide to Tax-Free Wealth Through Short-Term Rentals</w:t>
      </w:r>
    </w:p>
    <w:p>
      <w:pPr>
        <w:pStyle w:val="Heading2"/>
      </w:pPr>
      <w:r>
        <w:t>The Tax Problem Nobody Talks About</w:t>
      </w:r>
    </w:p>
    <w:p>
      <w:r>
        <w:t>If you earn $500,000 or more, you probably paid somewhere around $150,000 in taxes last year. Between federal income tax (37%), state tax, FICA, and the net investment income tax (3.8%), high earners routinely lose 40-45% of their gross income.</w:t>
      </w:r>
    </w:p>
    <w:p>
      <w:r>
        <w:t>You got a receipt. No asset. No cash flow. No equity. No appreciation. Just... gone.</w:t>
      </w:r>
    </w:p>
    <w:p>
      <w:r>
        <w:t>Meanwhile, institutional investors, REITs, and hotel chains have been using a perfectly legal IRS-approved strategy to shelter millions in income — for decades. The strategy is called cost segregation.</w:t>
      </w:r>
    </w:p>
    <w:p>
      <w:pPr>
        <w:pStyle w:val="Heading2"/>
      </w:pPr>
      <w:r>
        <w:t>The Cost Segregation Solution</w:t>
      </w:r>
    </w:p>
    <w:p>
      <w:r>
        <w:t>When you buy a property, the IRS lets you depreciate it over 27.5 years. That's a small deduction spread over a long time.</w:t>
      </w:r>
    </w:p>
    <w:p>
      <w:r>
        <w:t>A cost segregation study reclassifies components of your property — appliances, carpeting, cabinetry, landscaping, lighting — into shorter depreciation schedules (5, 7, and 15 years). Combined with bonus depreciation under IRC §168(k), you can accelerate hundreds of thousands in deductions into Year 1.</w:t>
      </w:r>
    </w:p>
    <w:p>
      <w:r>
        <w:t>Example on a $650,000 property:</w:t>
        <w:br/>
        <w:t>• Cost segregation identifies $390,000 in accelerable assets (60%)</w:t>
        <w:br/>
        <w:t>• Bonus depreciation at current rate: $390,000 deduction in Year 1</w:t>
        <w:br/>
        <w:t>• Tax savings at 37% bracket: $144,300 back in your pocket</w:t>
        <w:br/>
        <w:t>• Cost of the study: ~$5,000-$8,000</w:t>
      </w:r>
    </w:p>
    <w:p>
      <w:r>
        <w:t>For every $1 spent on a cost segregation study, our clients average $18-$25 in tax savings. The ROI isn't good — it's absurd.</w:t>
      </w:r>
    </w:p>
    <w:p>
      <w:pPr>
        <w:pStyle w:val="Heading2"/>
      </w:pPr>
      <w:r>
        <w:t>STR vs. Traditional Real Estate</w:t>
      </w:r>
    </w:p>
    <w:p>
      <w:r>
        <w:t>Not all rental properties are created equal.</w:t>
      </w:r>
    </w:p>
    <w:p>
      <w:r>
        <w:t>Short-Term Rental (STR):</w:t>
        <w:br/>
        <w:t>• Annual cash flow: $40K-$60K on a $650K property</w:t>
        <w:br/>
        <w:t>• Tax benefits: Full cost seg + bonus depreciation + STR loophole for W-2 offset</w:t>
        <w:br/>
        <w:t>• W-2 income offset: YES — with material participation via STR loophole</w:t>
        <w:br/>
        <w:t>• Appreciation: 8% avg. in target markets</w:t>
        <w:br/>
        <w:t>• Time commitment: ~0 hrs/month (with DMR management)</w:t>
      </w:r>
    </w:p>
    <w:p>
      <w:r>
        <w:t>Long-Term Rental (LTR):</w:t>
        <w:br/>
        <w:t>• Annual cash flow: $15K-$25K on the same property</w:t>
        <w:br/>
        <w:t>• Tax benefits: Standard 27.5-year depreciation only</w:t>
        <w:br/>
        <w:t>• W-2 income offset: NO — passive loss rules block it</w:t>
        <w:br/>
        <w:t>• Appreciation: Market-dependent</w:t>
        <w:br/>
        <w:t>• Time commitment: 5-10 hrs/month (tenant issues, turnover)</w:t>
      </w:r>
    </w:p>
    <w:p>
      <w:r>
        <w:t>STRs generate 2-3x the cash flow of LTRs AND unlock W-2 tax offsets that LTRs legally cannot.</w:t>
      </w:r>
    </w:p>
    <w:p>
      <w:pPr>
        <w:pStyle w:val="Heading2"/>
      </w:pPr>
      <w:r>
        <w:t>The DMR Model: Five Steps. One Guarantee. Zero Guesswork.</w:t>
      </w:r>
    </w:p>
    <w:p>
      <w:r>
        <w:t>1. FIND — We identify properties in high-performing STR markets using proprietary data: AirDNA analytics, occupancy rates, revenue-per-available-night, and local regulation mapping.</w:t>
      </w:r>
    </w:p>
    <w:p>
      <w:r>
        <w:t>2. BUY — We coordinate the full acquisition: offer strategy, inspection, lender introductions, closing. Our team has closed $100M+ in STR transactions.</w:t>
      </w:r>
    </w:p>
    <w:p>
      <w:r>
        <w:t>3. DESIGN — Our interior design team furnishes and stages every property to maximize nightly rate and 5-star reviews. Median impact: 20-35% higher nightly rate vs. self-furnished comps.</w:t>
      </w:r>
    </w:p>
    <w:p>
      <w:r>
        <w:t>4. MANAGE — Full-service property management: guest communication, dynamic pricing, cleaning coordination, maintenance. Your time commitment: zero hours per month.</w:t>
      </w:r>
    </w:p>
    <w:p>
      <w:r>
        <w:t>5. GUARANTEE — 10% minimum yield on your property — or we manage it for free. No other firm in the country offers this.</w:t>
      </w:r>
    </w:p>
    <w:p>
      <w:pPr>
        <w:pStyle w:val="Heading2"/>
      </w:pPr>
      <w:r>
        <w:t>Case Study: $81K In. 149% ROI. Year 1.</w:t>
      </w:r>
    </w:p>
    <w:p>
      <w:r>
        <w:t>This is a real DMR client property. No cherry-picking. No projections. Actuals.</w:t>
      </w:r>
    </w:p>
    <w:p>
      <w:r>
        <w:t>The Property:</w:t>
        <w:br/>
        <w:t>• Market: High-demand STR market (Southeastern US)</w:t>
        <w:br/>
        <w:t>• Purchase price: $650,000</w:t>
        <w:br/>
        <w:t>• Down payment (10%): $65,000</w:t>
        <w:br/>
        <w:t>• Game room build: $10,000</w:t>
        <w:br/>
        <w:t>• Contractor costs: $6,000</w:t>
        <w:br/>
        <w:t>• Total cash invested: $81,000</w:t>
      </w:r>
    </w:p>
    <w:p>
      <w:r>
        <w:t>Year 1 Returns:</w:t>
        <w:br/>
        <w:t>• Gross revenue: $130,000</w:t>
        <w:br/>
        <w:t>• Operating expenses: $89,100</w:t>
        <w:br/>
        <w:t>• Net cash flow: $40,900 (50.5% cash-on-cash return)</w:t>
        <w:br/>
        <w:t>• Tax savings (cost seg): $28,000</w:t>
        <w:br/>
        <w:t>• Appreciation (8%): $52,000</w:t>
        <w:br/>
        <w:t>• Total Year 1 return: $120,900</w:t>
        <w:br/>
        <w:t>• Return on $81K invested: 149%</w:t>
      </w:r>
    </w:p>
    <w:p>
      <w:r>
        <w:t>This client bought their second property within 12 months. Most of our clients do.</w:t>
      </w:r>
    </w:p>
    <w:p>
      <w:pPr>
        <w:pStyle w:val="Heading2"/>
      </w:pPr>
      <w:r>
        <w:t>The Bonus Depreciation Countdown</w:t>
      </w:r>
    </w:p>
    <w:p>
      <w:r>
        <w:t>The clock is running. Bonus depreciation under IRC §168(k) is phasing out:</w:t>
      </w:r>
    </w:p>
    <w:p>
      <w:r>
        <w:t>• 2025: 40%</w:t>
        <w:br/>
        <w:t>• 2026: 20% — LAST MEANINGFUL YEAR</w:t>
        <w:br/>
        <w:t>• 2027: 0% — GONE</w:t>
      </w:r>
    </w:p>
    <w:p>
      <w:r>
        <w:t>Every month you wait, your tax savings shrink. 2026 is the last year this strategy works at scale for high-income investors. Once the window closes, it doesn't reopen.</w:t>
      </w:r>
    </w:p>
    <w:p>
      <w:r>
        <w:t>This isn't a pressure tactic. It's the IRS schedule.</w:t>
      </w:r>
    </w:p>
    <w:p>
      <w:pPr>
        <w:pStyle w:val="Heading2"/>
      </w:pPr>
      <w:r>
        <w:t>Your Next Step</w:t>
      </w:r>
    </w:p>
    <w:p>
      <w:r>
        <w:t>If you earn $500K or more and you're tired of writing six-figure checks to the IRS, book a portfolio strategy call. We'll walk through a sample deal customized to your income bracket and tax situation.</w:t>
      </w:r>
    </w:p>
    <w:p>
      <w:r>
        <w:t>No pitch. No obligation. Just your numbers.</w:t>
      </w:r>
    </w:p>
    <w:p>
      <w:r>
        <w:t>Book your call: calendly.com/chitabnb/60min</w:t>
      </w:r>
    </w:p>
    <w:p>
      <w:r>
        <w:t>We take a handful of new clients each month. There's currently a 3-month waitlist.</w:t>
      </w:r>
    </w:p>
    <w:p>
      <w:r>
        <w:t>Double My Rental — doublemyrental.com</w:t>
        <w:br/>
        <w:t>Forbes Featured | $100M+ Under Management | 16 States | 4.95★ Rating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