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TechCorp Business Plan 2024</w:t>
      </w:r>
    </w:p>
    <w:p>
      <w:r>
        <w:t>Confidential Business Plan</w:t>
      </w:r>
    </w:p>
    <w:p>
      <w:r>
        <w:t>Prepared by: Executive Team</w:t>
      </w:r>
    </w:p>
    <w:p>
      <w:r>
        <w:t>Date: January 2024</w:t>
      </w:r>
    </w:p>
    <w:p>
      <w:r>
        <w:t>Version: 2.1</w:t>
      </w:r>
    </w:p>
    <w:p>
      <w:r>
        <w:br w:type="page"/>
      </w:r>
    </w:p>
    <w:p>
      <w:pPr>
        <w:pStyle w:val="Heading1"/>
      </w:pPr>
      <w:r>
        <w:t>Executive Summary</w:t>
      </w:r>
    </w:p>
    <w:p>
      <w:r>
        <w:t>TechCorp is positioned for exceptional growth in 2024, building on our strong foundation of innovative products and expanding market presence. With projected revenue of $18.5M (48% growth), net income of $3.7M (64% growth), and strategic expansion into three new markets, we are well-positioned to capture significant market share in the rapidly evolving technology sector.</w:t>
      </w:r>
    </w:p>
    <w:p>
      <w:r>
        <w:t>Key highlights include: successful product launch generating $2.1M in pre-orders, strategic partnership with GlobalTech Inc. worth $4.2M annually, and completion of Series B funding round raising $12M in growth capital.</w:t>
      </w:r>
    </w:p>
    <w:p>
      <w:pPr>
        <w:pStyle w:val="Heading1"/>
      </w:pPr>
      <w:r>
        <w:t>Market Analysis</w:t>
      </w:r>
    </w:p>
    <w:p>
      <w:pPr>
        <w:pStyle w:val="Heading2"/>
      </w:pPr>
      <w:r>
        <w:t>Industry Overview</w:t>
      </w:r>
    </w:p>
    <w:p>
      <w:r>
        <w:t>The global technology solutions market is experiencing unprecedented growth, with our target segment expanding at 32% CAGR. Market size reached $125B in 2023 and is projected to reach $195B by 2026. Key drivers include digital transformation initiatives, cloud migration, and AI adoption across enterprises.</w:t>
      </w:r>
    </w:p>
    <w:p>
      <w:pPr>
        <w:pStyle w:val="Heading2"/>
      </w:pPr>
      <w:r>
        <w:t>Competitive Landscape</w:t>
      </w:r>
    </w:p>
    <w:p>
      <w:r>
        <w:t>Our primary competitors include TechGiant Corp (35% market share, $43B revenue), InnovateSoft Ltd (18% market share, $22B revenue), and emerging players like StartupTech Inc (3% market share, $3.8B revenue). Our competitive advantages include superior customer satisfaction (Net Promoter Score: 67), faster time-to-market (average 6 months vs industry 12 months), and lower total cost of ownership (40% savings vs competitors).</w:t>
      </w:r>
    </w:p>
    <w:p>
      <w:pPr>
        <w:pStyle w:val="Heading1"/>
      </w:pPr>
      <w:r>
        <w:t>Financial Projections</w:t>
      </w:r>
    </w:p>
    <w:p>
      <w:r>
        <w:t>Three-year financial outlook with detailed quarterly breakdowns: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Metric</w:t>
            </w:r>
          </w:p>
        </w:tc>
        <w:tc>
          <w:tcPr>
            <w:tcW w:type="dxa" w:w="2160"/>
          </w:tcPr>
          <w:p>
            <w:r>
              <w:t>2024</w:t>
            </w:r>
          </w:p>
        </w:tc>
        <w:tc>
          <w:tcPr>
            <w:tcW w:type="dxa" w:w="2160"/>
          </w:tcPr>
          <w:p>
            <w:r>
              <w:t>2025</w:t>
            </w:r>
          </w:p>
        </w:tc>
        <w:tc>
          <w:tcPr>
            <w:tcW w:type="dxa" w:w="2160"/>
          </w:tcPr>
          <w:p>
            <w:r>
              <w:t>2026</w:t>
            </w:r>
          </w:p>
        </w:tc>
      </w:tr>
      <w:tr>
        <w:tc>
          <w:tcPr>
            <w:tcW w:type="dxa" w:w="2160"/>
          </w:tcPr>
          <w:p>
            <w:r>
              <w:t>Revenue</w:t>
            </w:r>
          </w:p>
        </w:tc>
        <w:tc>
          <w:tcPr>
            <w:tcW w:type="dxa" w:w="2160"/>
          </w:tcPr>
          <w:p>
            <w:r>
              <w:t>$18.5M</w:t>
            </w:r>
          </w:p>
        </w:tc>
        <w:tc>
          <w:tcPr>
            <w:tcW w:type="dxa" w:w="2160"/>
          </w:tcPr>
          <w:p>
            <w:r>
              <w:t>$27.8M</w:t>
            </w:r>
          </w:p>
        </w:tc>
        <w:tc>
          <w:tcPr>
            <w:tcW w:type="dxa" w:w="2160"/>
          </w:tcPr>
          <w:p>
            <w:r>
              <w:t>$41.7M</w:t>
            </w:r>
          </w:p>
        </w:tc>
      </w:tr>
      <w:tr>
        <w:tc>
          <w:tcPr>
            <w:tcW w:type="dxa" w:w="2160"/>
          </w:tcPr>
          <w:p>
            <w:r>
              <w:t>Gross Revenue</w:t>
            </w:r>
          </w:p>
        </w:tc>
        <w:tc>
          <w:tcPr>
            <w:tcW w:type="dxa" w:w="2160"/>
          </w:tcPr>
          <w:p>
            <w:r>
              <w:t>$11.1M</w:t>
            </w:r>
          </w:p>
        </w:tc>
        <w:tc>
          <w:tcPr>
            <w:tcW w:type="dxa" w:w="2160"/>
          </w:tcPr>
          <w:p>
            <w:r>
              <w:t>$16.7M</w:t>
            </w:r>
          </w:p>
        </w:tc>
        <w:tc>
          <w:tcPr>
            <w:tcW w:type="dxa" w:w="2160"/>
          </w:tcPr>
          <w:p>
            <w:r>
              <w:t>$25.0M</w:t>
            </w:r>
          </w:p>
        </w:tc>
      </w:tr>
      <w:tr>
        <w:tc>
          <w:tcPr>
            <w:tcW w:type="dxa" w:w="2160"/>
          </w:tcPr>
          <w:p>
            <w:r>
              <w:t>Operating Expenses</w:t>
            </w:r>
          </w:p>
        </w:tc>
        <w:tc>
          <w:tcPr>
            <w:tcW w:type="dxa" w:w="2160"/>
          </w:tcPr>
          <w:p>
            <w:r>
              <w:t>$8.9M</w:t>
            </w:r>
          </w:p>
        </w:tc>
        <w:tc>
          <w:tcPr>
            <w:tcW w:type="dxa" w:w="2160"/>
          </w:tcPr>
          <w:p>
            <w:r>
              <w:t>$12.5M</w:t>
            </w:r>
          </w:p>
        </w:tc>
        <w:tc>
          <w:tcPr>
            <w:tcW w:type="dxa" w:w="2160"/>
          </w:tcPr>
          <w:p>
            <w:r>
              <w:t>$17.2M</w:t>
            </w:r>
          </w:p>
        </w:tc>
      </w:tr>
      <w:tr>
        <w:tc>
          <w:tcPr>
            <w:tcW w:type="dxa" w:w="2160"/>
          </w:tcPr>
          <w:p>
            <w:r>
              <w:t>Net Income</w:t>
            </w:r>
          </w:p>
        </w:tc>
        <w:tc>
          <w:tcPr>
            <w:tcW w:type="dxa" w:w="2160"/>
          </w:tcPr>
          <w:p>
            <w:r>
              <w:t>$3.7M</w:t>
            </w:r>
          </w:p>
        </w:tc>
        <w:tc>
          <w:tcPr>
            <w:tcW w:type="dxa" w:w="2160"/>
          </w:tcPr>
          <w:p>
            <w:r>
              <w:t>$6.8M</w:t>
            </w:r>
          </w:p>
        </w:tc>
        <w:tc>
          <w:tcPr>
            <w:tcW w:type="dxa" w:w="2160"/>
          </w:tcPr>
          <w:p>
            <w:r>
              <w:t>$11.5M</w:t>
            </w:r>
          </w:p>
        </w:tc>
      </w:tr>
      <w:tr>
        <w:tc>
          <w:tcPr>
            <w:tcW w:type="dxa" w:w="2160"/>
          </w:tcPr>
          <w:p>
            <w:r>
              <w:t>Cash Flow</w:t>
            </w:r>
          </w:p>
        </w:tc>
        <w:tc>
          <w:tcPr>
            <w:tcW w:type="dxa" w:w="2160"/>
          </w:tcPr>
          <w:p>
            <w:r>
              <w:t>$5.2M</w:t>
            </w:r>
          </w:p>
        </w:tc>
        <w:tc>
          <w:tcPr>
            <w:tcW w:type="dxa" w:w="2160"/>
          </w:tcPr>
          <w:p>
            <w:r>
              <w:t>$9.1M</w:t>
            </w:r>
          </w:p>
        </w:tc>
        <w:tc>
          <w:tcPr>
            <w:tcW w:type="dxa" w:w="2160"/>
          </w:tcPr>
          <w:p>
            <w:r>
              <w:t>$14.8M</w:t>
            </w:r>
          </w:p>
        </w:tc>
      </w:tr>
      <w:tr>
        <w:tc>
          <w:tcPr>
            <w:tcW w:type="dxa" w:w="2160"/>
          </w:tcPr>
          <w:p>
            <w:r>
              <w:t>Employees</w:t>
            </w:r>
          </w:p>
        </w:tc>
        <w:tc>
          <w:tcPr>
            <w:tcW w:type="dxa" w:w="2160"/>
          </w:tcPr>
          <w:p>
            <w:r>
              <w:t>185</w:t>
            </w:r>
          </w:p>
        </w:tc>
        <w:tc>
          <w:tcPr>
            <w:tcW w:type="dxa" w:w="2160"/>
          </w:tcPr>
          <w:p>
            <w:r>
              <w:t>275</w:t>
            </w:r>
          </w:p>
        </w:tc>
        <w:tc>
          <w:tcPr>
            <w:tcW w:type="dxa" w:w="2160"/>
          </w:tcPr>
          <w:p>
            <w:r>
              <w:t>420</w:t>
            </w:r>
          </w:p>
        </w:tc>
      </w:tr>
      <w:tr>
        <w:tc>
          <w:tcPr>
            <w:tcW w:type="dxa" w:w="2160"/>
          </w:tcPr>
          <w:p>
            <w:r>
              <w:t>Customers</w:t>
            </w:r>
          </w:p>
        </w:tc>
        <w:tc>
          <w:tcPr>
            <w:tcW w:type="dxa" w:w="2160"/>
          </w:tcPr>
          <w:p>
            <w:r>
              <w:t>2,400</w:t>
            </w:r>
          </w:p>
        </w:tc>
        <w:tc>
          <w:tcPr>
            <w:tcW w:type="dxa" w:w="2160"/>
          </w:tcPr>
          <w:p>
            <w:r>
              <w:t>4,200</w:t>
            </w:r>
          </w:p>
        </w:tc>
        <w:tc>
          <w:tcPr>
            <w:tcW w:type="dxa" w:w="2160"/>
          </w:tcPr>
          <w:p>
            <w:r>
              <w:t>7,800</w:t>
            </w:r>
          </w:p>
        </w:tc>
      </w:tr>
    </w:tbl>
    <w:p>
      <w:pPr>
        <w:pStyle w:val="Heading1"/>
      </w:pPr>
      <w:r>
        <w:t>Product Strategy</w:t>
      </w:r>
    </w:p>
    <w:p>
      <w:pPr>
        <w:pStyle w:val="Heading2"/>
      </w:pPr>
      <w:r>
        <w:t>Current Product Portfolio</w:t>
      </w:r>
    </w:p>
    <w:p>
      <w:r>
        <w:t>Our flagship product TechSuite Pro generates $8.2M annually (66% of total revenue) with 94% customer satisfaction and 89% renewal rate. Supporting products include TechAnalytics ($2.1M revenue), TechConnect ($1.8M revenue), and TechSecure ($0.4M revenue).</w:t>
      </w:r>
    </w:p>
    <w:p>
      <w:pPr>
        <w:pStyle w:val="Heading2"/>
      </w:pPr>
      <w:r>
        <w:t>New Product Development</w:t>
      </w:r>
    </w:p>
    <w:p>
      <w:r>
        <w:t>Investment of $3.2M in R&amp;D will deliver four new products: TechAI Platform (launch Q2 2024, projected $2.8M revenue), TechMobile Suite (launch Q3 2024, projected $1.5M revenue), TechIntegration Hub (launch Q4 2024, projected $1.1M revenue), and TechAdvanced Analytics (launch Q1 2025, projected $2.2M revenue).</w:t>
      </w:r>
    </w:p>
    <w:p>
      <w:pPr>
        <w:pStyle w:val="Heading1"/>
      </w:pPr>
      <w:r>
        <w:t>Market Expansion Strategy</w:t>
      </w:r>
    </w:p>
    <w:p>
      <w:r>
        <w:t>Geographic expansion into European Union (target: $4.5M revenue, 15 enterprise clients), Asia-Pacific region (target: $2.8M revenue, 25 SMB clients), and Latin America (target: $1.2M revenue, 35 small business clients). Total investment required: $2.1M across 18 months with break-even projected by month 14.</w:t>
      </w:r>
    </w:p>
    <w:p>
      <w:pPr>
        <w:pStyle w:val="Heading1"/>
      </w:pPr>
      <w:r>
        <w:t>Risk Analysis</w:t>
      </w:r>
    </w:p>
    <w:p>
      <w:r>
        <w:t>Primary risks include: Market competition intensification (High probability, High impact), Technology disruption by AI/ML advances (Medium probability, High impact), Economic downturn affecting enterprise spending (Medium probability, Medium impact), Key talent retention challenges (High probability, Medium impact), and Regulatory changes in data privacy (Low probability, High impact).</w:t>
      </w:r>
    </w:p>
    <w:p>
      <w:r>
        <w:t>Mitigation strategies: Competitive differentiation through innovation ($1.8M R&amp;D investment), Strategic partnerships and acquisitions ($5M war chest), Economic resilience through diversified customer base and flexible pricing, Talent retention program with equity incentives and professional development ($0.8M annual investment), and Proactive compliance program with legal counsel ($0.3M annual budget).</w:t>
      </w:r>
    </w:p>
    <w:p>
      <w:pPr>
        <w:pStyle w:val="Heading1"/>
      </w:pPr>
      <w:r>
        <w:t>Implementation Timeline</w:t>
      </w:r>
    </w:p>
    <w:p>
      <w:r>
        <w:t>Phase 1 (Q1 2024): Product development completion, team expansion (25 new hires), market research finalization</w:t>
      </w:r>
    </w:p>
    <w:p>
      <w:r>
        <w:t>Phase 2 (Q2 2024): TechAI Platform launch, European market entry, partnership agreements</w:t>
      </w:r>
    </w:p>
    <w:p>
      <w:r>
        <w:t>Phase 3 (Q3 2024): TechMobile Suite launch, Asia-Pacific expansion, customer acquisition campaigns</w:t>
      </w:r>
    </w:p>
    <w:p>
      <w:r>
        <w:t>Phase 4 (Q4 2024): TechIntegration Hub launch, Latin America entry, performance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