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topics: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research questions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categories of Super Bowl advertisements are predicted to be the most popular in 2022?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brands stick to a proven formula or change things up based on prior advertising success/failure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datasets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https://projects.fivethirtyeight.com/super-bowl-ads/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https://github.com/fivethirtyeight/superbowl-ads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 of likes:dislikes on video links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https://www.kantarmedia.com/us/newsroom/press-releases/super-bowl-ad-rates-reached-4-million-for-a-30-second-spot-in-2019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https://en.wikipedia.org/wiki/Super_Bowl_television_ratings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Prof Ideas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Probability that someone would like vs dislike the advertisement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Logistic regression: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Estimate proportion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Estimate number of engagements (poisson regression)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Theta is a function of different ad characteristics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Use results to critique the model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Prior predictive checks / posterior predictive chekcs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Does it resemble the dataset?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uper_Bowl_television_ratings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s.fivethirtyeight.com/super-bowl-ads/" TargetMode="External"/><Relationship Id="rId7" Type="http://schemas.openxmlformats.org/officeDocument/2006/relationships/hyperlink" Target="https://github.com/fivethirtyeight/superbowl-ads" TargetMode="External"/><Relationship Id="rId8" Type="http://schemas.openxmlformats.org/officeDocument/2006/relationships/hyperlink" Target="https://www.kantarmedia.com/us/newsroom/press-releases/super-bowl-ad-rates-reached-4-million-for-a-30-second-spot-i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