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Georgia" w:cs="Georgia" w:eastAsia="Georgia" w:hAnsi="Georgia"/>
          <w:b/>
          <w:bCs/>
          <w:sz w:val="22"/>
          <w:szCs w:val="22"/>
        </w:rPr>
        <w:t xml:space="preserve">BOTS restructure — Draft 001 (themes only)</w:t>
      </w:r>
    </w:p>
    <w:p>
      <w:pPr>
        <w:spacing w:after="0" w:before="0" w:line="480"/>
      </w:pPr>
      <w:r>
        <w:rPr>
          <w:rFonts w:ascii="Georgia" w:cs="Georgia" w:eastAsia="Georgia" w:hAnsi="Georgia"/>
          <w:i/>
          <w:iCs/>
          <w:sz w:val="20"/>
          <w:szCs w:val="20"/>
        </w:rPr>
        <w:t xml:space="preserve">Working draft for Background of the Study only. Old full manuscript kept unchanged: Velasquez_CTA_Skincare_Thesis_FINAL_2026-10-18.docx</w:t>
      </w:r>
    </w:p>
    <w:p>
      <w:pPr>
        <w:spacing w:after="0" w:before="0" w:line="480"/>
      </w:pPr>
      <w:r>
        <w:rPr>
          <w:rFonts w:ascii="Georgia" w:cs="Georgia" w:eastAsia="Georgia" w:hAnsi="Georgia"/>
          <w:i/>
          <w:iCs/>
          <w:sz w:val="20"/>
          <w:szCs w:val="20"/>
        </w:rPr>
        <w:t xml:space="preserve">References left as in the source text for now. Theme-by-theme literature check comes next.</w:t>
      </w:r>
    </w:p>
    <w:p>
      <w:pPr>
        <w:spacing w:after="0" w:before="0" w:line="480"/>
      </w:pPr>
      <w:r>
        <w:rPr>
          <w:rFonts w:ascii="Georgia" w:cs="Georgia" w:eastAsia="Georgia" w:hAnsi="Georgia"/>
          <w:i/>
          <w:iCs/>
          <w:sz w:val="20"/>
          <w:szCs w:val="20"/>
        </w:rPr>
        <w:t xml:space="preserve">Writing order used: writer tone &gt; B1–B2 English &gt; Verb Tense Matrix &gt; no em dashes or semicolons &gt; other preferences.</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center"/>
      </w:pPr>
      <w:r>
        <w:rPr>
          <w:rFonts w:ascii="Georgia" w:cs="Georgia" w:eastAsia="Georgia" w:hAnsi="Georgia"/>
          <w:b/>
          <w:bCs/>
          <w:sz w:val="28"/>
          <w:szCs w:val="28"/>
        </w:rPr>
        <w:t xml:space="preserve">INTRODUCTION</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Background of the Study</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Social media has become one of the most powerful tools in modern marketing. Facebook remains one of the largest digital advertising platforms in the world. As of 2025, Facebook still has about three billion monthly active users (Statista, 2026). This makes the platform a strong space for brands that want to reach many kinds of audiences. In this setting, the beauty industry uses online advertising to promote products, build brand identity, and influence what consumers do next. One common persuasive tool in these advertisement captions is the call-to-action (CTA). CTA phrases are short expressions that direct users toward a next step, such as buying, trying, or learning more about a product. Through these short lines, skincare brands try to combine clear direction with emotional appeal and practical reasons to act.</w:t>
      </w:r>
    </w:p>
    <w:p>
      <w:pPr>
        <w:spacing w:after="0" w:before="0" w:line="480"/>
        <w:ind w:firstLine="720"/>
        <w:jc w:val="both"/>
      </w:pPr>
      <w:r>
        <w:rPr>
          <w:rFonts w:ascii="Georgia" w:cs="Georgia" w:eastAsia="Georgia" w:hAnsi="Georgia"/>
          <w:sz w:val="22"/>
          <w:szCs w:val="22"/>
        </w:rPr>
        <w:t xml:space="preserve">The beauty and personal care market in the Philippines continues to grow even as consumer preferences, economic conditions, and competition among local and international brands keep changing. According to Euromonitor International (2025), rising awareness of personal grooming and new beauty-related technologies help sustain demand in the sector. Skincare is a key part of this market. More people in the Philippines now pay attention to self-care and personal grooming, which makes skincare advertising on platforms such as Facebook an important site for studying persuasive language.</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Call-to-action phrases as persuasive linguistic units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after="0" w:before="0" w:line="480"/>
        <w:ind w:firstLine="720"/>
        <w:jc w:val="both"/>
      </w:pPr>
      <w:r>
        <w:rPr>
          <w:rFonts w:ascii="Georgia" w:cs="Georgia" w:eastAsia="Georgia" w:hAnsi="Georgia"/>
          <w:sz w:val="22"/>
          <w:szCs w:val="22"/>
        </w:rPr>
        <w:t>According to Arakelyan and Aleksanyan (2025), CTA phrases in digital discourse show clear linguistic patterns. Their study used discourse analysis and linguistic analysis of CTAs from commercial websites across different industries. The findings show that effective CTAs often use direct action verbs, short and concise structures, and markers of urgency such as “buy now” or “limited time offer.” These features help the phrases capture attention quickly and encourage immediate response. The authors also note that CTAs are frequently adapted to the interests and motivations of the target audience. For the present study, their work supplies a clear list of linguistic features that can be checked in Facebook skincare captions: action verbs, length, urgency markers, and signs of audience tailoring.</w:t>
      </w:r>
    </w:p>
    <w:p>
      <w:pPr>
        <w:spacing w:after="0" w:before="0" w:line="480"/>
        <w:ind w:firstLine="720"/>
        <w:jc w:val="both"/>
      </w:pPr>
      <w:r>
        <w:rPr>
          <w:rFonts w:ascii="Georgia" w:cs="Georgia" w:eastAsia="Georgia" w:hAnsi="Georgia"/>
          <w:sz w:val="22"/>
          <w:szCs w:val="22"/>
        </w:rPr>
        <w:t>Nguyen (2025) examined creative CTA messages through requestive strategies based on speech-act theory. The study analyzed advertising campaigns from major global brands and identified how direct and indirect requests function in CTA discourse. Direct requests such as “Buy today” or “Sign up now” give clarity and immediacy. Indirect requests such as “Why not try this?” reduce pressure and can feel more polite, especially in cultural contexts that value subtlety. Nguyen shows that the choice between direct and indirect forms affects how consumers interpret the message and decide whether to act. This distinction is useful for the present study because Facebook skincare captions also move between direct commands and softer invitations. The same categories can be applied when the CTA phrases in the corpus are classified.</w:t>
      </w:r>
    </w:p>
    <w:p>
      <w:pPr>
        <w:spacing w:after="0" w:before="0" w:line="480"/>
      </w:pPr>
      <w:r>
        <w:rPr>
          <w:rFonts w:ascii="Georgia" w:cs="Georgia" w:eastAsia="Georgia" w:hAnsi="Georgia"/>
          <w:sz w:val="22"/>
          <w:szCs w:val="22"/>
        </w:rPr>
        <w:t xml:space="preserve"/>
      </w:r>
    </w:p>
    <w:p>
      <w:r>
        <w:t>De Cock et al. (2024) analyzed calls for action in digital activism on social media. They collected tweets from the Fashion Revolution campaign and examined the deontic structures used to urge readers to act. Imperatives were the most frequent form, even though the account owners had little formal power to compel compliance. The study shows that these imperatives often leave the modal agent vague, addressing a broad audience rather than a specific actor. The same pattern appears in commercial advertising. Brands cannot force a reader to click or buy, yet they still issue clear invitations. Their finding therefore supports treating the imperative and other deontic forms in skincare CTAs as linguistic choices that invite action without formal authority.</w:t>
      </w:r>
    </w:p>
    <w:p>
      <w:r>
        <w:t>Not every strong directive produces the intended result. Szabó and Mitev (2025) tested the effects of imperative CTA messages on social media through a controlled experiment on Facebook. They compared advertisements that contained multiple strong imperative CTAs with versions that lacked such language. The results showed that ads without direct imperative elements generated more clicks. Strongly persuasive CTAs appeared to trigger psychological reactance, a defensive response in which users resist messages they perceive as overly controlling. This result is relevant to the present study because it shows that the force of a CTA is not always an advantage. When the skincare captions are examined, the presence of strong imperatives can be noted as a linguistic feature rather than assumed to be effective.</w:t>
      </w:r>
    </w:p>
    <w:p>
      <w:r>
        <w:t>Bünzli and Eppler (2025) conducted a large-scale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For this study, the same concern with clarity and the balance between direct and indirect forms can guide the analysis of how skincare brands word their call-to-action lines on Facebook.</w:t>
      </w:r>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after="0" w:before="0" w:line="480"/>
        <w:jc w:val="left"/>
      </w:pPr>
      <w:r>
        <w:rPr>
          <w:rFonts w:ascii="Georgia" w:cs="Georgia" w:eastAsia="Georgia" w:hAnsi="Georgia"/>
          <w:b/>
          <w:bCs/>
          <w:sz w:val="24"/>
          <w:szCs w:val="24"/>
        </w:rPr>
        <w:t xml:space="preserve">Rhetorical appeals in advertising discourse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Aristotle’s model of persuasion remains a common way to study how advertising language works. The model is built on three appeals: ethos, pathos, and logos. Ethos relates to credibility or trust. Pathos relates to emotion. Logos relates to reason or information (Stanford Encyclopedia of Philosophy, 2022). In advertising, these appeals help explain how brands try to shape how audiences see a product and what they do next.</w:t>
      </w:r>
    </w:p>
    <w:p>
      <w:pPr>
        <w:spacing w:after="0" w:before="0" w:line="480"/>
        <w:ind w:firstLine="720"/>
        <w:jc w:val="both"/>
      </w:pPr>
      <w:r>
        <w:rPr>
          <w:rFonts w:ascii="Georgia" w:cs="Georgia" w:eastAsia="Georgia" w:hAnsi="Georgia"/>
          <w:sz w:val="22"/>
          <w:szCs w:val="22"/>
        </w:rPr>
        <w:t xml:space="preserve">Recent studies have applied this framework to both traditional and digital ads. Talaue (2022) used Aristotle’s rhetorical triangle in advertisements aimed at Saudi Arabian college students and found that ethos, or the appeal to brand credibility, was the strongest persuasive strategy, with pathos and logos also present. De Castro and Martinez (2025) studied Facebook bank advertisements in the Philippine setting and found that ethos and pathos were common ways of engaging Filipino audiences. These studies show that Aristotle’s appeals are useful not only in other countries but also in Philippine social media advertising.</w:t>
      </w:r>
    </w:p>
    <w:p>
      <w:pPr>
        <w:spacing w:after="0" w:before="0" w:line="480"/>
        <w:ind w:firstLine="720"/>
        <w:jc w:val="both"/>
      </w:pPr>
      <w:r>
        <w:rPr>
          <w:rFonts w:ascii="Georgia" w:cs="Georgia" w:eastAsia="Georgia" w:hAnsi="Georgia"/>
          <w:sz w:val="22"/>
          <w:szCs w:val="22"/>
        </w:rPr>
        <w:t xml:space="preserve">Work on beauty and cosmetic advertising points to the same set of appeals. Saad and Ismael (2025) show that cosmetic advertising on social media combines rhetorical appeals with other persuasive strategies. Dwiyanti (2024) examined makeup and skincare video advertisements and found pathos to be the most frequent appeal in that material, with logos and ethos appearing less often. These findings do not all point to the same dominant appeal. They do show that ethos, pathos, and logos are active tools in beauty-related advertising language. They also suggest that the mix of appeals can change across platforms, formats, and units of analysis.</w:t>
      </w:r>
    </w:p>
    <w:p>
      <w:pPr>
        <w:spacing w:after="0" w:before="0" w:line="480"/>
        <w:ind w:firstLine="720"/>
        <w:jc w:val="both"/>
      </w:pPr>
      <w:r>
        <w:rPr>
          <w:rFonts w:ascii="Georgia" w:cs="Georgia" w:eastAsia="Georgia" w:hAnsi="Georgia"/>
          <w:sz w:val="22"/>
          <w:szCs w:val="22"/>
        </w:rPr>
        <w:t xml:space="preserve">For the present study, Aristotle’s framework is used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Directive speech acts in promotional language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pPr>
        <w:spacing w:after="0" w:before="0" w:line="480"/>
        <w:ind w:firstLine="720"/>
        <w:jc w:val="both"/>
      </w:pPr>
      <w:r>
        <w:rPr>
          <w:rFonts w:ascii="Georgia" w:cs="Georgia" w:eastAsia="Georgia" w:hAnsi="Georgia"/>
          <w:sz w:val="22"/>
          <w:szCs w:val="22"/>
        </w:rPr>
        <w:t xml:space="preserve">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pPr>
        <w:spacing w:after="0" w:before="0" w:line="480"/>
        <w:ind w:firstLine="720"/>
        <w:jc w:val="both"/>
      </w:pPr>
      <w:r>
        <w:rPr>
          <w:rFonts w:ascii="Georgia" w:cs="Georgia" w:eastAsia="Georgia" w:hAnsi="Georgia"/>
          <w:sz w:val="22"/>
          <w:szCs w:val="22"/>
        </w:rPr>
        <w:t xml:space="preserve">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Integrating rhetorical appeals and directive subtypes in CTA phrases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pPr>
        <w:spacing w:after="0" w:before="0" w:line="480"/>
        <w:ind w:firstLine="720"/>
        <w:jc w:val="both"/>
      </w:pPr>
      <w:r>
        <w:rPr>
          <w:rFonts w:ascii="Georgia" w:cs="Georgia" w:eastAsia="Georgia" w:hAnsi="Georgia"/>
          <w:sz w:val="22"/>
          <w:szCs w:val="22"/>
        </w:rPr>
        <w:t xml:space="preserve">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pPr>
        <w:spacing w:after="0" w:before="0" w:line="480"/>
        <w:ind w:firstLine="720"/>
        <w:jc w:val="both"/>
      </w:pPr>
      <w:r>
        <w:rPr>
          <w:rFonts w:ascii="Georgia" w:cs="Georgia" w:eastAsia="Georgia" w:hAnsi="Georgia"/>
          <w:sz w:val="22"/>
          <w:szCs w:val="22"/>
        </w:rPr>
        <w:t xml:space="preserve">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pPr>
        <w:spacing w:after="0" w:before="0" w:line="480"/>
        <w:ind w:firstLine="720"/>
        <w:jc w:val="both"/>
      </w:pPr>
      <w:r>
        <w:rPr>
          <w:rFonts w:ascii="Georgia" w:cs="Georgia" w:eastAsia="Georgia" w:hAnsi="Georgia"/>
          <w:sz w:val="22"/>
          <w:szCs w:val="22"/>
        </w:rPr>
        <w:t xml:space="preserve">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i/>
          <w:iCs/>
          <w:sz w:val="20"/>
          <w:szCs w:val="20"/>
        </w:rPr>
        <w:t xml:space="preserve">— End of BOTS Draft 001. Statement of the Problem and the rest of the chapter are not rewritten in this file.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2026-10-28T00:31:43.594Z</dcterms:created>
  <dcterms:modified xsi:type="dcterms:W3CDTF">2026-10-28T00:31:43.594Z</dcterms:modified>
</cp:coreProperties>
</file>

<file path=docProps/custom.xml><?xml version="1.0" encoding="utf-8"?>
<Properties xmlns="http://schemas.openxmlformats.org/officeDocument/2006/custom-properties" xmlns:vt="http://schemas.openxmlformats.org/officeDocument/2006/docPropsVTypes"/>
</file>