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BOTS restructure — Draft 001 (themes only)</w:t>
      </w:r>
    </w:p>
    <w:p>
      <w:r>
        <w:t>Working draft for Background of the Study only. Old full manuscript kept unchanged: Velasquez_CTA_Skincare_Thesis_FINAL_2026-10-18.docx</w:t>
      </w:r>
    </w:p>
    <w:p>
      <w:r>
        <w:t>References left as in the source text for now. Theme-by-theme literature check comes next.</w:t>
      </w:r>
    </w:p>
    <w:p>
      <w:r>
        <w:t>Writing order used: writer tone &gt; B1–B2 English &gt; Verb Tense Matrix &gt; no em dashes or semicolons &gt; other preferences.</w:t>
      </w:r>
    </w:p>
    <w:p/>
    <w:p>
      <w:r>
        <w:t>INTRODUCTION</w:t>
      </w:r>
    </w:p>
    <w:p/>
    <w:p>
      <w:r>
        <w:t>Background of the Study</w:t>
      </w:r>
    </w:p>
    <w:p>
      <w: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
      <w: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
      <w: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
      <w:r>
        <w:t>One of the most direct tools in these captions is the call-to-action phrase.</w:t>
      </w:r>
    </w:p>
    <w:p>
      <w:r>
        <w:t>Call-to-action phrases as persuasive linguistic units</w:t>
      </w:r>
    </w:p>
    <w:p/>
    <w:p>
      <w: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
      <w: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
      <w: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
      <w: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
      <w: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
      <w: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
      <w: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r>
        <w:t>Rhetorical appeals in advertising discourse</w:t>
      </w:r>
    </w:p>
    <w:p/>
    <w:p>
      <w: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
      <w: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
      <w: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
      <w: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
      <w: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
      <w: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
      <w: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
      <w: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r>
        <w:t>Directive speech acts in promotional language</w:t>
      </w:r>
    </w:p>
    <w:p/>
    <w:p>
      <w: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
      <w:r>
        <w:t>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
      <w:r>
        <w:t>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
      <w:r>
        <w:t>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
      <w:r>
        <w:t>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
      <w:r>
        <w:t>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
      <w:r>
        <w:t>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
      <w:r>
        <w:t>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
      <w:r>
        <w:t>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
      <w:r>
        <w:t>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r>
        <w:t>— End of BOTS Draft 001. Statement of the Problem and the rest of the chapter are not rewritten in this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