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October, 2026</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wrapTopAndBottom/>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Beauty Product Brands. </w:t>
      </w:r>
      <w:r>
        <w:rPr>
          <w:rFonts w:ascii="Georgia" w:hAnsi="Georgia" w:eastAsia="Georgia" w:cs="Georgia"/>
          <w:b w:val="0"/>
          <w:i w:val="0"/>
          <w:sz w:val="22"/>
        </w:rP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ELS Students. </w:t>
      </w:r>
      <w:r>
        <w:rPr>
          <w:rFonts w:ascii="Georgia" w:hAnsi="Georgia" w:eastAsia="Georgia" w:cs="Georgia"/>
          <w:b w:val="0"/>
          <w:i w:val="0"/>
          <w:sz w:val="22"/>
        </w:rP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Facebook Advertisers and Marketers. </w:t>
      </w:r>
      <w:r>
        <w:rPr>
          <w:rFonts w:ascii="Georgia" w:hAnsi="Georgia" w:eastAsia="Georgia" w:cs="Georgia"/>
          <w:b w:val="0"/>
          <w:i w:val="0"/>
          <w:sz w:val="22"/>
        </w:rP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Future Researchers. </w:t>
      </w:r>
      <w:r>
        <w:rPr>
          <w:rFonts w:ascii="Georgia" w:hAnsi="Georgia" w:eastAsia="Georgia" w:cs="Georgia"/>
          <w:b w:val="0"/>
          <w:i w:val="0"/>
          <w:sz w:val="22"/>
        </w:rPr>
        <w:t>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Call-to-Action (CTA) Phrases. </w:t>
      </w:r>
      <w:r>
        <w:rPr>
          <w:rFonts w:ascii="Georgia" w:hAnsi="Georgia" w:eastAsia="Georgia" w:cs="Georgia"/>
          <w:b w:val="0"/>
          <w:i w:val="0"/>
          <w:sz w:val="22"/>
        </w:rP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Speech Acts. </w:t>
      </w:r>
      <w:r>
        <w:rPr>
          <w:rFonts w:ascii="Georgia" w:hAnsi="Georgia" w:eastAsia="Georgia" w:cs="Georgia"/>
          <w:b w:val="0"/>
          <w:i w:val="0"/>
          <w:sz w:val="22"/>
        </w:rP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Subtypes. </w:t>
      </w:r>
      <w:r>
        <w:rPr>
          <w:rFonts w:ascii="Georgia" w:hAnsi="Georgia" w:eastAsia="Georgia" w:cs="Georgia"/>
          <w:b w:val="0"/>
          <w:i w:val="0"/>
          <w:sz w:val="22"/>
        </w:rP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Command. </w:t>
      </w:r>
      <w:r>
        <w:rPr>
          <w:rFonts w:ascii="Georgia" w:hAnsi="Georgia" w:eastAsia="Georgia" w:cs="Georgia"/>
          <w:b w:val="0"/>
          <w:i w:val="0"/>
          <w:sz w:val="22"/>
        </w:rP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Order. </w:t>
      </w:r>
      <w:r>
        <w:rPr>
          <w:rFonts w:ascii="Georgia" w:hAnsi="Georgia" w:eastAsia="Georgia" w:cs="Georgia"/>
          <w:b w:val="0"/>
          <w:i w:val="0"/>
          <w:sz w:val="22"/>
        </w:rP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Request. </w:t>
      </w:r>
      <w:r>
        <w:rPr>
          <w:rFonts w:ascii="Georgia" w:hAnsi="Georgia" w:eastAsia="Georgia" w:cs="Georgia"/>
          <w:b w:val="0"/>
          <w:i w:val="0"/>
          <w:sz w:val="22"/>
        </w:rP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Suggestion. </w:t>
      </w:r>
      <w:r>
        <w:rPr>
          <w:rFonts w:ascii="Georgia" w:hAnsi="Georgia" w:eastAsia="Georgia" w:cs="Georgia"/>
          <w:b w:val="0"/>
          <w:i w:val="0"/>
          <w:sz w:val="22"/>
        </w:rP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Persuasive Language. </w:t>
      </w:r>
      <w:r>
        <w:rPr>
          <w:rFonts w:ascii="Georgia" w:hAnsi="Georgia" w:eastAsia="Georgia" w:cs="Georgia"/>
          <w:b w:val="0"/>
          <w:i w:val="0"/>
          <w:sz w:val="22"/>
        </w:rP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pPr>
    </w:p>
    <w:p>
      <w:pPr>
        <w:spacing w:before="0" w:after="0" w:line="480" w:lineRule="auto"/>
      </w:pPr>
    </w:p>
    <w:p>
      <w:pPr>
        <w:spacing w:before="0" w:after="0" w:line="480" w:lineRule="auto"/>
      </w:pPr>
    </w:p>
    <w:p>
      <w:pPr>
        <w:spacing w:before="0" w:after="0" w:line="480" w:lineRule="auto"/>
        <w:sectPr>
          <w:pgSz w:w="11906" w:h="16838"/>
          <w:pgMar w:top="1440" w:right="1440" w:bottom="1440" w:left="2160" w:header="720" w:footer="720" w:gutter="0"/>
          <w:titlePg/>
          <w:headerReference w:type="default" r:id="rId11"/>
          <w:headerReference w:type="first" r:id="rId12"/>
        </w:sectPr>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