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Georgia" w:cs="Georgia" w:eastAsia="Georgia" w:hAnsi="Georgia"/>
          <w:b/>
          <w:bCs/>
          <w:sz w:val="22"/>
          <w:szCs w:val="22"/>
        </w:rPr>
        <w:t xml:space="preserve">BOTS restructure — Draft 001 (themes only)</w:t>
      </w:r>
    </w:p>
    <w:p>
      <w:pPr>
        <w:spacing w:after="0" w:before="0" w:line="480"/>
      </w:pPr>
      <w:r>
        <w:rPr>
          <w:rFonts w:ascii="Georgia" w:cs="Georgia" w:eastAsia="Georgia" w:hAnsi="Georgia"/>
          <w:i/>
          <w:iCs/>
          <w:sz w:val="20"/>
          <w:szCs w:val="20"/>
        </w:rPr>
        <w:t xml:space="preserve">Working draft for Background of the Study only. Old full manuscript kept unchanged: Velasquez_CTA_Skincare_Thesis_FINAL_2026-10-18.docx</w:t>
      </w:r>
    </w:p>
    <w:p>
      <w:pPr>
        <w:spacing w:after="0" w:before="0" w:line="480"/>
      </w:pPr>
      <w:r>
        <w:rPr>
          <w:rFonts w:ascii="Georgia" w:cs="Georgia" w:eastAsia="Georgia" w:hAnsi="Georgia"/>
          <w:i/>
          <w:iCs/>
          <w:sz w:val="20"/>
          <w:szCs w:val="20"/>
        </w:rPr>
        <w:t xml:space="preserve">References left as in the source text for now. Theme-by-theme literature check comes next.</w:t>
      </w:r>
    </w:p>
    <w:p>
      <w:pPr>
        <w:spacing w:after="0" w:before="0" w:line="480"/>
      </w:pPr>
      <w:r>
        <w:rPr>
          <w:rFonts w:ascii="Georgia" w:cs="Georgia" w:eastAsia="Georgia" w:hAnsi="Georgia"/>
          <w:i/>
          <w:iCs/>
          <w:sz w:val="20"/>
          <w:szCs w:val="20"/>
        </w:rPr>
        <w:t xml:space="preserve">Writing order used: writer tone &gt; B1–B2 English &gt; Verb Tense Matrix &gt; no em dashes or semicolons &gt; other preferences.</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jc w:val="center"/>
      </w:pPr>
      <w:r>
        <w:rPr>
          <w:rFonts w:ascii="Georgia" w:cs="Georgia" w:eastAsia="Georgia" w:hAnsi="Georgia"/>
          <w:b/>
          <w:bCs/>
          <w:sz w:val="28"/>
          <w:szCs w:val="28"/>
        </w:rPr>
        <w:t xml:space="preserve">INTRODUCTION</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Background of the Study</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Social media has become one of the most powerful tools in modern marketing. Facebook remains one of the largest digital advertising platforms in the world. As of 2025, Facebook still has about three billion monthly active users (Statista, 2026). This makes the platform a strong space for brands that want to reach many kinds of audiences. In this setting, the beauty industry uses online advertising to promote products, build brand identity, and influence what consumers do next. One common persuasive tool in these advertisement captions is the call-to-action (CTA). CTA phrases are short expressions that direct users toward a next step, such as buying, trying, or learning more about a product. Through these short lines, skincare brands try to combine clear direction with emotional appeal and practical reasons to act.</w:t>
      </w:r>
    </w:p>
    <w:p>
      <w:pPr>
        <w:spacing w:after="0" w:before="0" w:line="480"/>
        <w:ind w:firstLine="720"/>
        <w:jc w:val="both"/>
      </w:pPr>
      <w:r>
        <w:rPr>
          <w:rFonts w:ascii="Georgia" w:cs="Georgia" w:eastAsia="Georgia" w:hAnsi="Georgia"/>
          <w:sz w:val="22"/>
          <w:szCs w:val="22"/>
        </w:rPr>
        <w:t xml:space="preserve">The beauty and personal care market in the Philippines continues to grow even as consumer preferences, economic conditions, and competition among local and international brands keep changing. According to Euromonitor International (2025), rising awareness of personal grooming and new beauty-related technologies help sustain demand in the sector. Skincare is a key part of this market. More people in the Philippines now pay attention to self-care and personal grooming, which makes skincare advertising on platforms such as Facebook an important site for studying persuasive language.</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Call-to-action phrases as persuasive linguistic units</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A call to action is a short directive expression that tells or invites the audience to take a specific next step. It can appear as a simple prompt such as “Buy Now” or as a longer line that still asks the reader to act (Kenton, 2025). In advertising discourse, CTA phrases matter because they are the point in the caption where the text most clearly tries to move the audience from reading to doing.</w:t>
      </w:r>
    </w:p>
    <w:p>
      <w:pPr>
        <w:spacing w:after="0" w:before="0" w:line="480"/>
        <w:ind w:firstLine="720"/>
        <w:jc w:val="both"/>
      </w:pPr>
      <w:r>
        <w:rPr>
          <w:rFonts w:ascii="Georgia" w:cs="Georgia" w:eastAsia="Georgia" w:hAnsi="Georgia"/>
          <w:sz w:val="22"/>
          <w:szCs w:val="22"/>
        </w:rPr>
        <w:t xml:space="preserve">Recent studies stress that CTA strategies help create immediate engagement. Nguyen (2025) found that direct requests can create clarity and urgency, while indirect requests may work less well depending on cultural context. Arakelyan and Aleksanyan (2025) also note that effective CTAs are often short, use the imperative mood, and rely on strong action verbs. These features make CTA phrases easy to read and hard to miss. Because of this, CTA phrases can be studied as small but important units of persuasive language, not only as marketing buttons.</w:t>
      </w:r>
    </w:p>
    <w:p>
      <w:pPr>
        <w:spacing w:after="0" w:before="0" w:line="480"/>
        <w:ind w:firstLine="720"/>
        <w:jc w:val="both"/>
      </w:pPr>
      <w:r>
        <w:rPr>
          <w:rFonts w:ascii="Georgia" w:cs="Georgia" w:eastAsia="Georgia" w:hAnsi="Georgia"/>
          <w:sz w:val="22"/>
          <w:szCs w:val="22"/>
        </w:rPr>
        <w:t xml:space="preserve">Other work on advertising language points in the same direction. Studies of captions and promotional posts show that advertisers use personalization, emotive wording, and direct address to strengthen engagement (Ardyanti et al., 2025; Darmawan &amp; Indah, 2025). These features support persuasion by building a closer link between the message and the reader. Taken together, this body of work suggests that CTA phrases function as direct communicative acts. They combine linguistic clarity with persuasive intent. That makes them a useful focus for discourse analysis in English Language Studies.</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Rhetorical appeals in advertising discourse</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Aristotle’s model of persuasion remains a common way to study how advertising language works. The model is built on three appeals: ethos, pathos, and logos. Ethos relates to credibility or trust. Pathos relates to emotion. Logos relates to reason or information (Stanford Encyclopedia of Philosophy, 2022). In advertising, these appeals help explain how brands try to shape how audiences see a product and what they do next.</w:t>
      </w:r>
    </w:p>
    <w:p>
      <w:pPr>
        <w:spacing w:after="0" w:before="0" w:line="480"/>
        <w:ind w:firstLine="720"/>
        <w:jc w:val="both"/>
      </w:pPr>
      <w:r>
        <w:rPr>
          <w:rFonts w:ascii="Georgia" w:cs="Georgia" w:eastAsia="Georgia" w:hAnsi="Georgia"/>
          <w:sz w:val="22"/>
          <w:szCs w:val="22"/>
        </w:rPr>
        <w:t xml:space="preserve">Recent studies have applied this framework to both traditional and digital ads. Talaue (2022) used Aristotle’s rhetorical triangle in advertisements aimed at Saudi Arabian college students and found that ethos, or the appeal to brand credibility, was the strongest persuasive strategy, with pathos and logos also present. De Castro and Martinez (2025) studied Facebook bank advertisements in the Philippine setting and found that ethos and pathos were common ways of engaging Filipino audiences. These studies show that Aristotle’s appeals are useful not only in other countries but also in Philippine social media advertising.</w:t>
      </w:r>
    </w:p>
    <w:p>
      <w:pPr>
        <w:spacing w:after="0" w:before="0" w:line="480"/>
        <w:ind w:firstLine="720"/>
        <w:jc w:val="both"/>
      </w:pPr>
      <w:r>
        <w:rPr>
          <w:rFonts w:ascii="Georgia" w:cs="Georgia" w:eastAsia="Georgia" w:hAnsi="Georgia"/>
          <w:sz w:val="22"/>
          <w:szCs w:val="22"/>
        </w:rPr>
        <w:t xml:space="preserve">Work on beauty and cosmetic advertising points to the same set of appeals. Saad and Ismael (2025) show that cosmetic advertising on social media combines rhetorical appeals with other persuasive strategies. Dwiyanti (2024) examined makeup and skincare video advertisements and found pathos to be the most frequent appeal in that material, with logos and ethos appearing less often. These findings do not all point to the same dominant appeal. They do show that ethos, pathos, and logos are active tools in beauty-related advertising language. They also suggest that the mix of appeals can change across platforms, formats, and units of analysis.</w:t>
      </w:r>
    </w:p>
    <w:p>
      <w:pPr>
        <w:spacing w:after="0" w:before="0" w:line="480"/>
        <w:ind w:firstLine="720"/>
        <w:jc w:val="both"/>
      </w:pPr>
      <w:r>
        <w:rPr>
          <w:rFonts w:ascii="Georgia" w:cs="Georgia" w:eastAsia="Georgia" w:hAnsi="Georgia"/>
          <w:sz w:val="22"/>
          <w:szCs w:val="22"/>
        </w:rPr>
        <w:t xml:space="preserve">For the present study, Aristotle’s framework is used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Directive speech acts in promotional language</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Speech Act Theory offers a second way to study short advertising lines. On this view, utterances are not only statements about the world. They are also actions. Searle (1975) groups illocutionary acts into several types. One of these is the directive. Directives are acts in which the speaker tries to get the hearer to do something. This is a strong match for advertising CTAs, because lines such as “try,” “buy,” and “shop” are meant to move the reader toward an action.</w:t>
      </w:r>
    </w:p>
    <w:p>
      <w:pPr>
        <w:spacing w:after="0" w:before="0" w:line="480"/>
        <w:ind w:firstLine="720"/>
        <w:jc w:val="both"/>
      </w:pPr>
      <w:r>
        <w:rPr>
          <w:rFonts w:ascii="Georgia" w:cs="Georgia" w:eastAsia="Georgia" w:hAnsi="Georgia"/>
          <w:sz w:val="22"/>
          <w:szCs w:val="22"/>
        </w:rPr>
        <w:t xml:space="preserve">Yule (1996) discusses directive speech acts in terms of command, order, request, and suggestion. The present study uses these four subtypes. The working definitions follow Anggraini and Afriana (2023), who apply Yule’s framework in their own analysis of directive speech acts. In simple terms, a command usually assumes power or authority over the hearer. An order tells someone to act without that strong power relation. A request asks politely and leaves room for refusal. A suggestion offers an action that the hearer may accept or reject.</w:t>
      </w:r>
    </w:p>
    <w:p>
      <w:pPr>
        <w:spacing w:after="0" w:before="0" w:line="480"/>
        <w:ind w:firstLine="720"/>
        <w:jc w:val="both"/>
      </w:pPr>
      <w:r>
        <w:rPr>
          <w:rFonts w:ascii="Georgia" w:cs="Georgia" w:eastAsia="Georgia" w:hAnsi="Georgia"/>
          <w:sz w:val="22"/>
          <w:szCs w:val="22"/>
        </w:rPr>
        <w:t xml:space="preserve">Studies of advertising language support the value of this approach. Prasetya and Ramdhani (2023) found that directive speech acts such as “try,” “buy,” and “drink” work as persuasive prompts, while representative statements mainly give product information. Kencana (2025) showed that directive utterances in Instagram advertising function as calls to action that guide audience behavior. Saad and Ismael (2025) also link rhetorical appeals with speech act patterns in cosmetic advertising. Together, these studies suggest that Facebook skincare captions can be read not only for their emotional or informational content, but also for the kind of directive force they carry.</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Integrating rhetorical appeals and directive subtypes in CTA phrases</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The studies reviewed above show that social media advertising works through more than one kind of persuasive resource. Rhetorical appeals help explain the basis of the message, such as product information, emotion, or credibility. Directive speech acts help explain how the message tries to get the reader to act. Many studies, however, focus on only one of these lenses at a time, or they treat advertising language as a whole rather than as a set of short CTA phrases.</w:t>
      </w:r>
    </w:p>
    <w:p>
      <w:pPr>
        <w:spacing w:after="0" w:before="0" w:line="480"/>
        <w:ind w:firstLine="720"/>
        <w:jc w:val="both"/>
      </w:pPr>
      <w:r>
        <w:rPr>
          <w:rFonts w:ascii="Georgia" w:cs="Georgia" w:eastAsia="Georgia" w:hAnsi="Georgia"/>
          <w:sz w:val="22"/>
          <w:szCs w:val="22"/>
        </w:rPr>
        <w:t xml:space="preserve">Less attention has been given to the joint use of Aristotle’s rhetorical appeals and Yule’s directive subtypes when the unit of analysis is the CTA phrase itself. In particular, short directive expressions that carry much of the persuasive load in a caption are still underexplored as a distinct linguistic unit. Previous research has often described advertising language in broad terms. It has given less space to how specific directive subtypes work together with ethos, pathos, or logos inside the same short line.</w:t>
      </w:r>
    </w:p>
    <w:p>
      <w:pPr>
        <w:spacing w:after="0" w:before="0" w:line="480"/>
        <w:ind w:firstLine="720"/>
        <w:jc w:val="both"/>
      </w:pPr>
      <w:r>
        <w:rPr>
          <w:rFonts w:ascii="Georgia" w:cs="Georgia" w:eastAsia="Georgia" w:hAnsi="Georgia"/>
          <w:sz w:val="22"/>
          <w:szCs w:val="22"/>
        </w:rPr>
        <w:t xml:space="preserve">This gap matters for English Language Studies because CTA phrases are real instances of language in use. They are short, public, and designed to act on readers. Studying them with both a rhetorical lens and a speech-act lens can show how persuasive meaning is built in everyday digital advertising English. It can also offer a clear coding approach that other studies of online promotional discourse may test or extend.</w:t>
      </w:r>
    </w:p>
    <w:p>
      <w:pPr>
        <w:spacing w:after="0" w:before="0" w:line="480"/>
        <w:ind w:firstLine="720"/>
        <w:jc w:val="both"/>
      </w:pPr>
      <w:r>
        <w:rPr>
          <w:rFonts w:ascii="Georgia" w:cs="Georgia" w:eastAsia="Georgia" w:hAnsi="Georgia"/>
          <w:sz w:val="22"/>
          <w:szCs w:val="22"/>
        </w:rPr>
        <w:t xml:space="preserve">Therefore, this study analyzes how persuasive meaning is constructed through CTA phrases in Facebook skincare advertisement captions. Aristotle’s rhetorical framework is used to examine ethos, pathos, and logos. Yule’s (1996) framework of directive speech acts is used to identify the subtypes of command, order, request, and suggestion. The operational definitions of these subtypes follow Anggraini and Afriana (2023). The study focuses on captions from selected skincare brands on Facebook and treats the CTA phrase as the primary unit of analysis, with the full caption as context when the rhetorical appeal is identified.</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i/>
          <w:iCs/>
          <w:sz w:val="20"/>
          <w:szCs w:val="20"/>
        </w:rPr>
        <w:t xml:space="preserve">— End of BOTS Draft 001. Statement of the Problem and the rest of the chapter are not rewritten in this file.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2026-10-28T00:31:43.594Z</dcterms:created>
  <dcterms:modified xsi:type="dcterms:W3CDTF">2026-10-28T00:31:43.594Z</dcterms:modified>
</cp:coreProperties>
</file>

<file path=docProps/custom.xml><?xml version="1.0" encoding="utf-8"?>
<Properties xmlns="http://schemas.openxmlformats.org/officeDocument/2006/custom-properties" xmlns:vt="http://schemas.openxmlformats.org/officeDocument/2006/docPropsVTypes"/>
</file>