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pgSz w:h="16834" w:w="11909"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r w:rsidDel="00000000" w:rsidR="00000000" w:rsidRPr="00000000">
        <w:rPr>
          <w:rtl w:val="0"/>
        </w:rPr>
        <w:t xml:space="preserve"> </w:t>
      </w:r>
      <w:r w:rsidDel="00000000" w:rsidR="00000000" w:rsidRPr="00000000">
        <w:rPr>
          <w:rFonts w:ascii="Georgia" w:cs="Georgia" w:eastAsia="Georgia" w:hAnsi="Georgia"/>
          <w:b w:val="0"/>
          <w:bCs w:val="0"/>
          <w:i w:val="0"/>
          <w:iCs w:val="0"/>
          <w:sz w:val="22"/>
          <w:szCs w:val="22"/>
          <w:rtl w:val="0"/>
        </w:rPr>
        <w:t xml:space="preserve">One of the most direct tools in these captions is the call-to-action phrase.</w:t>
      </w:r>
      <w:r w:rsidDel="00000000" w:rsidR="00000000" w:rsidRPr="00000000">
        <w:rPr>
          <w:rtl w:val="0"/>
        </w:rPr>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r w:rsidDel="00000000" w:rsidR="00000000" w:rsidRPr="00000000">
        <w:rPr>
          <w:rtl w:val="0"/>
        </w:rPr>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r w:rsidDel="00000000" w:rsidR="00000000" w:rsidRPr="00000000">
        <w:rPr>
          <w:rtl w:val="0"/>
        </w:rPr>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r w:rsidDel="00000000" w:rsidR="00000000" w:rsidRPr="00000000">
        <w:rPr>
          <w:rtl w:val="0"/>
        </w:rPr>
      </w:r>
    </w:p>
    <w:p w:rsidR="00000000" w:rsidDel="00000000" w:rsidP="00000000" w:rsidRDefault="00000000" w:rsidRPr="00000000" w14:paraId="000000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r w:rsidDel="00000000" w:rsidR="00000000" w:rsidRPr="00000000">
        <w:rPr>
          <w:rtl w:val="0"/>
        </w:rPr>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generally aims to analyze how persuasive meaning is constructed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r w:rsidDel="00000000" w:rsidR="00000000" w:rsidRPr="00000000">
        <w:rPr>
          <w:rtl w:val="0"/>
        </w:rPr>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r w:rsidDel="00000000" w:rsidR="00000000" w:rsidRPr="00000000">
        <w:rPr>
          <w:rtl w:val="0"/>
        </w:rPr>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How do directive subtypes and rhetorical appeals contribute to the construction of persuasive meaning in the CTA phrases of selected Facebook skincare advertisements?</w:t>
      </w:r>
      <w:r w:rsidDel="00000000" w:rsidR="00000000" w:rsidRPr="00000000">
        <w:rPr>
          <w:rtl w:val="0"/>
        </w:rPr>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pPr>
        <w:spacing w:before="0" w:after="0" w:line="480" w:lineRule="auto"/>
        <w:jc w:val="both"/>
        <w:ind w:firstLine="720"/>
      </w:pPr>
      <w:r>
        <w:rPr>
          <w:rFonts w:ascii="Georgia" w:hAnsi="Georgia"/>
          <w:sz w:val="22"/>
          <w:b/>
        </w:rPr>
        <w:t xml:space="preserve">Call-to-Action (CTA) Phrases. </w:t>
      </w:r>
      <w:r>
        <w:rPr>
          <w:rFonts w:ascii="Georgia" w:hAnsi="Georgia"/>
          <w:sz w:val="22"/>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jc w:val="both"/>
        <w:ind w:firstLine="720"/>
      </w:pPr>
      <w:r>
        <w:rPr>
          <w:rFonts w:ascii="Georgia" w:hAnsi="Georgia"/>
          <w:sz w:val="22"/>
          <w:b/>
        </w:rPr>
        <w:t xml:space="preserve">Command. </w:t>
      </w:r>
      <w:r>
        <w:rPr>
          <w:rFonts w:ascii="Georgia" w:hAnsi="Georgia"/>
          <w:sz w:val="22"/>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jc w:val="both"/>
        <w:ind w:firstLine="720"/>
      </w:pPr>
      <w:r>
        <w:rPr>
          <w:rFonts w:ascii="Georgia" w:hAnsi="Georgia"/>
          <w:sz w:val="22"/>
          <w:b/>
        </w:rPr>
        <w:t xml:space="preserve">Directive Speech Acts. </w:t>
      </w:r>
      <w:r>
        <w:rPr>
          <w:rFonts w:ascii="Georgia" w:hAnsi="Georgia"/>
          <w:sz w:val="22"/>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jc w:val="both"/>
        <w:ind w:firstLine="720"/>
      </w:pPr>
      <w:r>
        <w:rPr>
          <w:rFonts w:ascii="Georgia" w:hAnsi="Georgia"/>
          <w:sz w:val="22"/>
          <w:b/>
        </w:rPr>
        <w:t xml:space="preserve">Directive Subtypes. </w:t>
      </w:r>
      <w:r>
        <w:rPr>
          <w:rFonts w:ascii="Georgia" w:hAnsi="Georgia"/>
          <w:sz w:val="22"/>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jc w:val="both"/>
        <w:ind w:firstLine="720"/>
      </w:pPr>
      <w:r>
        <w:rPr>
          <w:rFonts w:ascii="Georgia" w:hAnsi="Georgia"/>
          <w:sz w:val="22"/>
          <w:b/>
        </w:rPr>
        <w:t xml:space="preserve">Ethos. </w:t>
      </w:r>
      <w:r>
        <w:rPr>
          <w:rFonts w:ascii="Georgia" w:hAnsi="Georgia"/>
          <w:sz w:val="22"/>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jc w:val="both"/>
        <w:ind w:firstLine="720"/>
      </w:pPr>
      <w:r>
        <w:rPr>
          <w:rFonts w:ascii="Georgia" w:hAnsi="Georgia"/>
          <w:sz w:val="22"/>
          <w:b/>
        </w:rPr>
        <w:t xml:space="preserve">Logos. </w:t>
      </w:r>
      <w:r>
        <w:rPr>
          <w:rFonts w:ascii="Georgia" w:hAnsi="Georgia"/>
          <w:sz w:val="22"/>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jc w:val="both"/>
        <w:ind w:firstLine="720"/>
      </w:pPr>
      <w:r>
        <w:rPr>
          <w:rFonts w:ascii="Georgia" w:hAnsi="Georgia"/>
          <w:sz w:val="22"/>
          <w:b/>
        </w:rPr>
        <w:t xml:space="preserve">Order. </w:t>
      </w:r>
      <w:r>
        <w:rPr>
          <w:rFonts w:ascii="Georgia" w:hAnsi="Georgia"/>
          <w:sz w:val="22"/>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jc w:val="both"/>
        <w:ind w:firstLine="720"/>
      </w:pPr>
      <w:r>
        <w:rPr>
          <w:rFonts w:ascii="Georgia" w:hAnsi="Georgia"/>
          <w:sz w:val="22"/>
          <w:b/>
        </w:rPr>
        <w:t xml:space="preserve">Pathos. </w:t>
      </w:r>
      <w:r>
        <w:rPr>
          <w:rFonts w:ascii="Georgia" w:hAnsi="Georgia"/>
          <w:sz w:val="22"/>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jc w:val="both"/>
        <w:ind w:firstLine="720"/>
      </w:pPr>
      <w:r>
        <w:rPr>
          <w:rFonts w:ascii="Georgia" w:hAnsi="Georgia"/>
          <w:sz w:val="22"/>
          <w:b/>
        </w:rPr>
        <w:t xml:space="preserve">Persuasive Language. </w:t>
      </w:r>
      <w:r>
        <w:rPr>
          <w:rFonts w:ascii="Georgia" w:hAnsi="Georgia"/>
          <w:sz w:val="22"/>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jc w:val="both"/>
        <w:ind w:firstLine="720"/>
      </w:pPr>
      <w:r>
        <w:rPr>
          <w:rFonts w:ascii="Georgia" w:hAnsi="Georgia"/>
          <w:sz w:val="22"/>
          <w:b/>
        </w:rPr>
        <w:t xml:space="preserve">Request. </w:t>
      </w:r>
      <w:r>
        <w:rPr>
          <w:rFonts w:ascii="Georgia" w:hAnsi="Georgia"/>
          <w:sz w:val="22"/>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jc w:val="both"/>
        <w:ind w:firstLine="720"/>
      </w:pPr>
      <w:r>
        <w:rPr>
          <w:rFonts w:ascii="Georgia" w:hAnsi="Georgia"/>
          <w:sz w:val="22"/>
          <w:b/>
        </w:rPr>
        <w:t xml:space="preserve">Rhetorical Appeals. </w:t>
      </w:r>
      <w:r>
        <w:rPr>
          <w:rFonts w:ascii="Georgia" w:hAnsi="Georgia"/>
          <w:sz w:val="22"/>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jc w:val="both"/>
        <w:ind w:firstLine="720"/>
      </w:pPr>
      <w:r>
        <w:rPr>
          <w:rFonts w:ascii="Georgia" w:hAnsi="Georgia"/>
          <w:sz w:val="22"/>
          <w:b/>
        </w:rPr>
        <w:t xml:space="preserve">Skincare Advertisements. </w:t>
      </w:r>
      <w:r>
        <w:rPr>
          <w:rFonts w:ascii="Georgia" w:hAnsi="Georgia"/>
          <w:sz w:val="22"/>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jc w:val="both"/>
        <w:ind w:firstLine="720"/>
      </w:pPr>
      <w:r>
        <w:rPr>
          <w:rFonts w:ascii="Georgia" w:hAnsi="Georgia"/>
          <w:sz w:val="22"/>
          <w:b/>
        </w:rPr>
        <w:t xml:space="preserve">Suggestion. </w:t>
      </w:r>
      <w:r>
        <w:rPr>
          <w:rFonts w:ascii="Georgia" w:hAnsi="Georgia"/>
          <w:sz w:val="22"/>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e7jkczq3030g"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r w:rsidDel="00000000" w:rsidR="00000000" w:rsidRPr="00000000">
        <w:rPr>
          <w:rtl w:val="0"/>
        </w:rPr>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r w:rsidDel="00000000" w:rsidR="00000000" w:rsidRPr="00000000">
        <w:rPr>
          <w:rtl w:val="0"/>
        </w:rPr>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r w:rsidDel="00000000" w:rsidR="00000000" w:rsidRPr="00000000">
        <w:rPr>
          <w:rtl w:val="0"/>
        </w:rPr>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r w:rsidDel="00000000" w:rsidR="00000000" w:rsidRPr="00000000">
        <w:rPr>
          <w:rtl w:val="0"/>
        </w:rPr>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989i0xxyxgkt"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7nv2y7um2uvn"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r w:rsidDel="00000000" w:rsidR="00000000" w:rsidRPr="00000000">
        <w:rPr>
          <w:rtl w:val="0"/>
        </w:rPr>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r w:rsidDel="00000000" w:rsidR="00000000" w:rsidRPr="00000000">
        <w:rPr>
          <w:rtl w:val="0"/>
        </w:rPr>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r w:rsidDel="00000000" w:rsidR="00000000" w:rsidRPr="00000000">
        <w:rPr>
          <w:rtl w:val="0"/>
        </w:rPr>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r w:rsidDel="00000000" w:rsidR="00000000" w:rsidRPr="00000000">
        <w:rPr>
          <w:rtl w:val="0"/>
        </w:rPr>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6z3r4ntez7cg"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1ezf923f37ei"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c4y1l7zeuzv"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r w:rsidDel="00000000" w:rsidR="00000000" w:rsidRPr="00000000">
        <w:rPr>
          <w:rtl w:val="0"/>
        </w:rPr>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r w:rsidDel="00000000" w:rsidR="00000000" w:rsidRPr="00000000">
        <w:rPr>
          <w:rtl w:val="0"/>
        </w:rPr>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r w:rsidDel="00000000" w:rsidR="00000000" w:rsidRPr="00000000">
        <w:rPr>
          <w:rtl w:val="0"/>
        </w:rPr>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r w:rsidDel="00000000" w:rsidR="00000000" w:rsidRPr="00000000">
        <w:rPr>
          <w:rtl w:val="0"/>
        </w:rPr>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r w:rsidDel="00000000" w:rsidR="00000000" w:rsidRPr="00000000">
        <w:rPr>
          <w:rtl w:val="0"/>
        </w:rPr>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r w:rsidDel="00000000" w:rsidR="00000000" w:rsidRPr="00000000">
        <w:rPr>
          <w:rtl w:val="0"/>
        </w:rPr>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r w:rsidDel="00000000" w:rsidR="00000000" w:rsidRPr="00000000">
        <w:rPr>
          <w:rtl w:val="0"/>
        </w:rPr>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83f95iqle15a"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r w:rsidDel="00000000" w:rsidR="00000000" w:rsidRPr="00000000">
        <w:rPr>
          <w:rtl w:val="0"/>
        </w:rPr>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r w:rsidDel="00000000" w:rsidR="00000000" w:rsidRPr="00000000">
        <w:rPr>
          <w:rtl w:val="0"/>
        </w:rPr>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r w:rsidDel="00000000" w:rsidR="00000000" w:rsidRPr="00000000">
        <w:rPr>
          <w:rtl w:val="0"/>
        </w:rPr>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r w:rsidDel="00000000" w:rsidR="00000000" w:rsidRPr="00000000">
        <w:rPr>
          <w:rtl w:val="0"/>
        </w:rPr>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r w:rsidDel="00000000" w:rsidR="00000000" w:rsidRPr="00000000">
        <w:rPr>
          <w:rtl w:val="0"/>
        </w:rPr>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ojg9dzi2lb0y"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k2bvzy5gp5jw"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9" w:type="default"/>
          <w:headerReference r:id="rId10"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0" w:before="0" w:line="276" w:lineRule="auto"/>
              <w:jc w:val="center"/>
              <w:rPr/>
            </w:pPr>
            <w:r w:rsidDel="00000000" w:rsidR="00000000" w:rsidRPr="00000000">
              <w:rPr>
                <w:rFonts w:ascii="Georgia" w:cs="Georgia" w:eastAsia="Georgia" w:hAnsi="Georgia"/>
                <w:sz w:val="22"/>
                <w:szCs w:val="22"/>
                <w:rtl w:val="0"/>
              </w:rPr>
              <w:t xml:space="preserve">aaaa</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0" w:before="0" w:line="276" w:lineRule="auto"/>
              <w:jc w:val="center"/>
              <w:rPr/>
            </w:pPr>
            <w:r w:rsidDel="00000000" w:rsidR="00000000" w:rsidRPr="00000000">
              <w:rPr>
                <w:rtl w:val="0"/>
              </w:rPr>
            </w:r>
          </w:p>
        </w:tc>
      </w:tr>
    </w:tbl>
    <w:p w:rsidR="00000000" w:rsidDel="00000000" w:rsidP="00000000" w:rsidRDefault="00000000" w:rsidRPr="00000000" w14:paraId="0000011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21">
      <w:pPr>
        <w:spacing w:after="0" w:before="0" w:line="480" w:lineRule="auto"/>
        <w:ind w:left="0" w:firstLine="0"/>
        <w:jc w:val="both"/>
        <w:rPr/>
      </w:pPr>
      <w:bookmarkStart w:colFirst="0" w:colLast="0" w:name="_98724fqnklyb" w:id="9"/>
      <w:bookmarkEnd w:id="9"/>
      <w:r w:rsidDel="00000000" w:rsidR="00000000" w:rsidRPr="00000000">
        <w:rPr>
          <w:rtl w:val="0"/>
        </w:rPr>
      </w:r>
    </w:p>
    <w:p w:rsidR="00000000" w:rsidDel="00000000" w:rsidP="00000000" w:rsidRDefault="00000000" w:rsidRPr="00000000" w14:paraId="00000122">
      <w:pPr>
        <w:spacing w:after="0" w:before="0" w:line="480" w:lineRule="auto"/>
        <w:ind w:left="0" w:firstLine="0"/>
        <w:jc w:val="both"/>
        <w:rPr>
          <w:b w:val="1"/>
          <w:bCs w:val="1"/>
          <w:sz w:val="24"/>
          <w:szCs w:val="24"/>
        </w:rPr>
      </w:pPr>
      <w:bookmarkStart w:colFirst="0" w:colLast="0" w:name="_xkbliekll371"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2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4">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9">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A">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B">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C">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B">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C">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E">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51">
      <w:pPr>
        <w:keepNext w:val="1"/>
        <w:spacing w:after="0" w:before="0" w:line="480" w:lineRule="auto"/>
        <w:ind w:firstLine="0"/>
        <w:jc w:val="left"/>
        <w:rPr>
          <w:i w:val="1"/>
          <w:iCs w:val="1"/>
          <w:sz w:val="24"/>
          <w:szCs w:val="24"/>
        </w:rPr>
      </w:pPr>
      <w:bookmarkStart w:colFirst="0" w:colLast="0" w:name="_lyhkghn1zbq9" w:id="11"/>
      <w:bookmarkEnd w:id="11"/>
      <w:r w:rsidDel="00000000" w:rsidR="00000000" w:rsidRPr="00000000">
        <w:rPr>
          <w:rtl w:val="0"/>
        </w:rPr>
      </w:r>
    </w:p>
    <w:p w:rsidR="00000000" w:rsidDel="00000000" w:rsidP="00000000" w:rsidRDefault="00000000" w:rsidRPr="00000000" w14:paraId="00000152">
      <w:pPr>
        <w:keepNext w:val="1"/>
        <w:spacing w:after="0" w:before="0" w:line="480" w:lineRule="auto"/>
        <w:ind w:firstLine="0"/>
        <w:jc w:val="left"/>
        <w:rPr>
          <w:b w:val="1"/>
          <w:bCs w:val="1"/>
        </w:rPr>
      </w:pPr>
      <w:bookmarkStart w:colFirst="0" w:colLast="0" w:name="_35vtfrhmjxiv"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5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8">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9">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A">
            <w:pPr>
              <w:spacing w:after="0" w:before="0" w:line="276" w:lineRule="auto"/>
              <w:jc w:val="center"/>
              <w:rPr/>
            </w:pPr>
            <w:r w:rsidDel="00000000" w:rsidR="00000000" w:rsidRPr="00000000">
              <w:rPr>
                <w:rFonts w:ascii="Georgia" w:cs="Georgia" w:eastAsia="Georgia" w:hAnsi="Georgia"/>
                <w:sz w:val="22"/>
                <w:szCs w:val="22"/>
                <w:rtl w:val="0"/>
              </w:rPr>
              <w:t xml:space="preserve">100.01%</w:t>
            </w:r>
            <w:r w:rsidDel="00000000" w:rsidR="00000000" w:rsidRPr="00000000">
              <w:rPr>
                <w:rtl w:val="0"/>
              </w:rPr>
            </w:r>
          </w:p>
        </w:tc>
      </w:tr>
    </w:tbl>
    <w:p w:rsidR="00000000" w:rsidDel="00000000" w:rsidP="00000000" w:rsidRDefault="00000000" w:rsidRPr="00000000" w14:paraId="0000016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sectPr>
          <w:headerReference r:id="rId11" w:type="default"/>
          <w:headerReference r:id="rId12"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7">
      <w:pPr>
        <w:spacing w:after="0" w:before="0" w:line="480" w:lineRule="auto"/>
        <w:ind w:firstLine="0"/>
        <w:jc w:val="left"/>
        <w:rPr/>
      </w:pPr>
      <w:r w:rsidDel="00000000" w:rsidR="00000000" w:rsidRPr="00000000">
        <w:rPr>
          <w:rtl w:val="0"/>
        </w:rPr>
      </w:r>
    </w:p>
    <w:p w:rsidR="00000000" w:rsidDel="00000000" w:rsidP="00000000" w:rsidRDefault="00000000" w:rsidRPr="00000000" w14:paraId="00000178">
      <w:pPr>
        <w:spacing w:after="0" w:before="0" w:line="480" w:lineRule="auto"/>
        <w:ind w:firstLine="0"/>
        <w:jc w:val="left"/>
        <w:rPr/>
      </w:pPr>
      <w:r w:rsidDel="00000000" w:rsidR="00000000" w:rsidRPr="00000000">
        <w:rPr>
          <w:rtl w:val="0"/>
        </w:rPr>
      </w:r>
    </w:p>
    <w:p w:rsidR="00000000" w:rsidDel="00000000" w:rsidP="00000000" w:rsidRDefault="00000000" w:rsidRPr="00000000" w14:paraId="00000179">
      <w:pPr>
        <w:spacing w:after="0" w:before="0" w:line="480" w:lineRule="auto"/>
        <w:ind w:firstLine="0"/>
        <w:jc w:val="left"/>
        <w:rPr/>
      </w:pP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83">
      <w:pPr>
        <w:keepNext w:val="1"/>
        <w:spacing w:after="0" w:before="0" w:line="480" w:lineRule="auto"/>
        <w:ind w:firstLine="0"/>
        <w:jc w:val="left"/>
        <w:rPr>
          <w:b w:val="1"/>
          <w:bCs w:val="1"/>
          <w:sz w:val="24"/>
          <w:szCs w:val="24"/>
        </w:rPr>
      </w:pPr>
      <w:bookmarkStart w:colFirst="0" w:colLast="0" w:name="_ijww81mhghu" w:id="13"/>
      <w:bookmarkEnd w:id="13"/>
      <w:r w:rsidDel="00000000" w:rsidR="00000000" w:rsidRPr="00000000">
        <w:rPr>
          <w:rtl w:val="0"/>
        </w:rPr>
      </w:r>
    </w:p>
    <w:p w:rsidR="00000000" w:rsidDel="00000000" w:rsidP="00000000" w:rsidRDefault="00000000" w:rsidRPr="00000000" w14:paraId="00000184">
      <w:pPr>
        <w:keepNext w:val="1"/>
        <w:spacing w:after="0" w:before="0" w:line="480" w:lineRule="auto"/>
        <w:ind w:firstLine="0"/>
        <w:jc w:val="left"/>
        <w:rPr/>
      </w:pPr>
      <w:bookmarkStart w:colFirst="0" w:colLast="0" w:name="_ntiufv5lusja"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A">
      <w:pPr>
        <w:spacing w:after="0" w:before="0" w:line="480" w:lineRule="auto"/>
        <w:ind w:firstLine="720"/>
        <w:jc w:val="both"/>
        <w:rPr/>
        <w:sectPr>
          <w:headerReference r:id="rId13" w:type="default"/>
          <w:headerReference r:id="rId14"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B">
      <w:pPr>
        <w:spacing w:after="0" w:before="0" w:line="480" w:lineRule="auto"/>
        <w:ind w:firstLine="0"/>
        <w:jc w:val="left"/>
        <w:rPr/>
      </w:pPr>
      <w:r w:rsidDel="00000000" w:rsidR="00000000" w:rsidRPr="00000000">
        <w:rPr>
          <w:rtl w:val="0"/>
        </w:rPr>
      </w:r>
    </w:p>
    <w:p w:rsidR="00000000" w:rsidDel="00000000" w:rsidP="00000000" w:rsidRDefault="00000000" w:rsidRPr="00000000" w14:paraId="0000018C">
      <w:pPr>
        <w:spacing w:after="0" w:before="0" w:line="480" w:lineRule="auto"/>
        <w:ind w:firstLine="0"/>
        <w:jc w:val="left"/>
        <w:rPr/>
      </w:pPr>
      <w:r w:rsidDel="00000000" w:rsidR="00000000" w:rsidRPr="00000000">
        <w:rPr>
          <w:rtl w:val="0"/>
        </w:rPr>
      </w:r>
    </w:p>
    <w:p w:rsidR="00000000" w:rsidDel="00000000" w:rsidP="00000000" w:rsidRDefault="00000000" w:rsidRPr="00000000" w14:paraId="0000018D">
      <w:pPr>
        <w:spacing w:after="0" w:before="0" w:line="480" w:lineRule="auto"/>
        <w:ind w:firstLine="0"/>
        <w:jc w:val="left"/>
        <w:rPr/>
      </w:pPr>
      <w:r w:rsidDel="00000000" w:rsidR="00000000" w:rsidRPr="00000000">
        <w:rPr>
          <w:rtl w:val="0"/>
        </w:rPr>
      </w:r>
    </w:p>
    <w:p w:rsidR="00000000" w:rsidDel="00000000" w:rsidP="00000000" w:rsidRDefault="00000000" w:rsidRPr="00000000" w14:paraId="0000018E">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ind w:left="720" w:hanging="720"/>
        <w:jc w:val="left"/>
      </w:pPr>
      <w:r>
        <w:rPr>
          <w:rFonts w:ascii="Georgia" w:hAnsi="Georgia"/>
          <w:sz w:val="22"/>
        </w:rPr>
        <w:t xml:space="preserve">Abubakar, J., Ruqayya, R., &amp; Bashir, A. S. (2023). Digital communication. ResearchGate. https://share.google/EC0fhobJadzjqEeAK</w:t>
      </w:r>
    </w:p>
    <w:p>
      <w:pPr>
        <w:spacing w:before="0" w:after="0" w:line="480" w:lineRule="auto"/>
        <w:ind w:left="720" w:hanging="720"/>
        <w:jc w:val="left"/>
      </w:pPr>
      <w:r>
        <w:rPr>
          <w:rFonts w:ascii="Georgia" w:hAnsi="Georgia"/>
          <w:sz w:val="22"/>
        </w:rPr>
        <w:t xml:space="preserve">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left="720" w:hanging="720"/>
        <w:jc w:val="left"/>
      </w:pPr>
      <w:r>
        <w:rPr>
          <w:rFonts w:ascii="Georgia" w:hAnsi="Georgia"/>
          <w:sz w:val="22"/>
        </w:rPr>
        <w:t xml:space="preserve">Arakelyan, H., &amp; Aleksanyan, A. (2025). LINGUISTIC PECULIARITIES OF CALL-TO-ACTION PHRASES IN DIGITAL DISCOURSE. Foreign Languages in Higher Education, 29(2(39)), 5–20. https://doi.org/10.46991/flhe.2025.29.2.005</w:t>
      </w:r>
    </w:p>
    <w:p>
      <w:pPr>
        <w:spacing w:before="0" w:after="0" w:line="480" w:lineRule="auto"/>
        <w:ind w:left="720" w:hanging="720"/>
        <w:jc w:val="left"/>
      </w:pPr>
      <w:r>
        <w:rPr>
          <w:rFonts w:ascii="Georgia" w:hAnsi="Georgia"/>
          <w:sz w:val="22"/>
        </w:rPr>
        <w:t xml:space="preserve">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left="720" w:hanging="720"/>
        <w:jc w:val="left"/>
      </w:pPr>
      <w:r>
        <w:rPr>
          <w:rFonts w:ascii="Georgia" w:hAnsi="Georgia"/>
          <w:sz w:val="22"/>
        </w:rPr>
        <w:t xml:space="preserve">Brown, G., &amp; Yule, G. (1983). DISCOURSE ANALYSIS. Cambridge University Press.https://carrerainglesuce.wordpress.com/wp-content/uploads/2019/05/discourse_analysis_by_gillian_brown_geor.pdf</w:t>
      </w:r>
    </w:p>
    <w:p>
      <w:pPr>
        <w:spacing w:before="0" w:after="0" w:line="480" w:lineRule="auto"/>
        <w:ind w:left="720" w:hanging="720"/>
        <w:jc w:val="left"/>
      </w:pPr>
      <w:r>
        <w:rPr>
          <w:rFonts w:ascii="Georgia" w:hAnsi="Georgia"/>
          <w:sz w:val="22"/>
        </w:rPr>
        <w:t xml:space="preserve">Business Mirror. (2022). Luxe Organix shares two important announcements to treat customers. BusinessMirror. https://businessmirror.com.ph/2022/11/02/luxe-organix-shares-two-important-announcements-to-treat-customers/</w:t>
      </w:r>
    </w:p>
    <w:p>
      <w:pPr>
        <w:spacing w:before="0" w:after="0" w:line="480" w:lineRule="auto"/>
        <w:ind w:left="720" w:hanging="720"/>
        <w:jc w:val="left"/>
      </w:pPr>
      <w:r>
        <w:rPr>
          <w:rFonts w:ascii="Georgia" w:hAnsi="Georgia"/>
          <w:sz w:val="22"/>
        </w:rPr>
        <w:t xml:space="preserve">Darmawan, R., &amp; Indah, R. N. (2025). STYLISTIC ANALYSIS OF PERSUASIVE TECHNIQUES IN MALE SKINCARE ADVERTISING ON INSTAGRAM. LINGUISTIK Jurnal Bahasa Dan Sastra, 10(4), 445–456. https://doi.org/10.31604/linguistik.v10i4.445-456</w:t>
      </w:r>
    </w:p>
    <w:p>
      <w:pPr>
        <w:spacing w:before="0" w:after="0" w:line="480" w:lineRule="auto"/>
        <w:ind w:left="720" w:hanging="720"/>
        <w:jc w:val="left"/>
      </w:pPr>
      <w:r>
        <w:rPr>
          <w:rFonts w:ascii="Georgia" w:hAnsi="Georgia"/>
          <w:sz w:val="22"/>
        </w:rPr>
        <w:t xml:space="preserve">De Castro, G., &amp; Martinez, S. M. (2025). Rhetorical Appeals across Selected Philippine Bank Advertising on Facebook. Southern Semiotic Review, 22. https://doi.org/10.33234/ssr.22.13</w:t>
      </w:r>
    </w:p>
    <w:p>
      <w:pPr>
        <w:spacing w:before="0" w:after="0" w:line="480" w:lineRule="auto"/>
        <w:ind w:left="720" w:hanging="720"/>
        <w:jc w:val="left"/>
      </w:pPr>
      <w:r>
        <w:rPr>
          <w:rFonts w:ascii="Georgia" w:hAnsi="Georgia"/>
          <w:sz w:val="22"/>
        </w:rPr>
        <w:t xml:space="preserve">Dwiyanti, W. G. (2024). Persuasive techniques in makeup and skincare video advertisements. JLT Jurnal Linguistik Terapan, 14(1), 27–37. https://jurnal.polinema.ac.id/index.php/jlt/article/view/4558</w:t>
      </w:r>
    </w:p>
    <w:p>
      <w:pPr>
        <w:spacing w:before="0" w:after="0" w:line="480" w:lineRule="auto"/>
        <w:ind w:left="720" w:hanging="720"/>
        <w:jc w:val="left"/>
      </w:pPr>
      <w:r>
        <w:rPr>
          <w:rFonts w:ascii="Georgia" w:hAnsi="Georgia"/>
          <w:sz w:val="22"/>
        </w:rPr>
        <w:t xml:space="preserve">Euromonitor International. (2025). Beauty and personal care in the Philippines. https://www.euromonitor.com/beauty-and-personal-care-in-the-philippines/report?id=421071&amp;recid=1951822385765&amp;utm_source=chatgpt.com</w:t>
      </w:r>
    </w:p>
    <w:p>
      <w:pPr>
        <w:spacing w:before="0" w:after="0" w:line="480" w:lineRule="auto"/>
        <w:ind w:left="720" w:hanging="720"/>
        <w:jc w:val="left"/>
      </w:pPr>
      <w:r>
        <w:rPr>
          <w:rFonts w:ascii="Georgia" w:hAnsi="Georgia"/>
          <w:sz w:val="22"/>
        </w:rPr>
        <w:t xml:space="preserve">Fitch, K. (2008). Directives. The International Encyclopedia of Communication. https://doi.org/10.1002/9781405186407.wbiecd041</w:t>
      </w:r>
    </w:p>
    <w:p>
      <w:pPr>
        <w:spacing w:before="0" w:after="0" w:line="480" w:lineRule="auto"/>
        <w:ind w:left="720" w:hanging="720"/>
        <w:jc w:val="left"/>
      </w:pPr>
      <w:r>
        <w:rPr>
          <w:rFonts w:ascii="Georgia" w:hAnsi="Georgia"/>
          <w:sz w:val="22"/>
        </w:rPr>
        <w:t xml:space="preserve">Gee, J. P. (2014). An introduction to discourse analysis. In Routledge eBooks. https://doi.org/10.4324/9781315819679</w:t>
      </w:r>
    </w:p>
    <w:p>
      <w:pPr>
        <w:spacing w:before="0" w:after="0" w:line="480" w:lineRule="auto"/>
        <w:ind w:left="720" w:hanging="720"/>
        <w:jc w:val="left"/>
      </w:pPr>
      <w:r>
        <w:rPr>
          <w:rFonts w:ascii="Georgia" w:hAnsi="Georgia"/>
          <w:sz w:val="22"/>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left="720" w:hanging="720"/>
        <w:jc w:val="left"/>
      </w:pPr>
      <w:r>
        <w:rPr>
          <w:rFonts w:ascii="Georgia" w:hAnsi="Georgia"/>
          <w:sz w:val="22"/>
        </w:rPr>
        <w:t xml:space="preserve">Jamora-Garceau, T. (2023). Award-winning clean beauty brands under one roof. Philstar.com. https://www.philstar.com/lifestyle/2023/12/08/2317173/award-winning-clean-beauty-brands-under-one-roof</w:t>
      </w:r>
    </w:p>
    <w:p>
      <w:pPr>
        <w:spacing w:before="0" w:after="0" w:line="480" w:lineRule="auto"/>
        <w:ind w:left="720" w:hanging="720"/>
        <w:jc w:val="left"/>
      </w:pPr>
      <w:r>
        <w:rPr>
          <w:rFonts w:ascii="Georgia" w:hAnsi="Georgia"/>
          <w:sz w:val="22"/>
        </w:rPr>
        <w:t xml:space="preserve">Kencana, D. S. S. (2025). An analysis of representative and directive speech acts in NIVEA’s advertising discourse on Instagram. Prasasti/UNS Journal of Language Studies, 10(2), 184. https://doi.org/10.20961/prasasti.v10i2.97398</w:t>
      </w:r>
    </w:p>
    <w:p>
      <w:pPr>
        <w:spacing w:before="0" w:after="0" w:line="480" w:lineRule="auto"/>
        <w:ind w:left="720" w:hanging="720"/>
        <w:jc w:val="left"/>
      </w:pPr>
      <w:r>
        <w:rPr>
          <w:rFonts w:ascii="Georgia" w:hAnsi="Georgia"/>
          <w:sz w:val="22"/>
        </w:rPr>
        <w:t xml:space="preserve">Kenton, W. (2025). What a call to action (CTA) is and how it works. https://share.google/s4l7LqDgUSalTgGvu</w:t>
      </w:r>
    </w:p>
    <w:p>
      <w:pPr>
        <w:spacing w:before="0" w:after="0" w:line="480" w:lineRule="auto"/>
        <w:ind w:left="720" w:hanging="720"/>
        <w:jc w:val="left"/>
      </w:pPr>
      <w:r>
        <w:rPr>
          <w:rFonts w:ascii="Georgia" w:hAnsi="Georgia"/>
          <w:sz w:val="22"/>
        </w:rPr>
        <w:t xml:space="preserve">Luxe Organix. (2023). Our newest serum sunscreens are also available in sachets! (Facebook Post). https://www.facebook.com/share/r/1C3MBrSZ2H/</w:t>
      </w:r>
    </w:p>
    <w:p>
      <w:pPr>
        <w:spacing w:before="0" w:after="0" w:line="480" w:lineRule="auto"/>
        <w:ind w:left="720" w:hanging="720"/>
        <w:jc w:val="left"/>
      </w:pPr>
      <w:r>
        <w:rPr>
          <w:rFonts w:ascii="Georgia" w:hAnsi="Georgia"/>
          <w:sz w:val="22"/>
        </w:rPr>
        <w:t xml:space="preserve">Luxe Organix. (2023). Want to achieve a youthful skin? (Facebook Post). https://www.facebook.com/share/r/1M9Zzuom7W/</w:t>
      </w:r>
    </w:p>
    <w:p>
      <w:pPr>
        <w:spacing w:before="0" w:after="0" w:line="480" w:lineRule="auto"/>
        <w:ind w:left="720" w:hanging="720"/>
        <w:jc w:val="left"/>
      </w:pPr>
      <w:r>
        <w:rPr>
          <w:rFonts w:ascii="Georgia" w:hAnsi="Georgia"/>
          <w:sz w:val="22"/>
        </w:rPr>
        <w:t xml:space="preserve">Luxe Organix. (2024). The 1𝘴𝘵 𝘦𝘷𝘦𝘳 𝘴𝘶𝘯𝘴𝘤𝘳𝘦𝘦𝘯 𝘴𝘵𝘪𝘤𝘬 from Luxe Organix is finally out! (Facebook Post). https://www.facebook.com/share/p/1Mo11jqb6c/</w:t>
      </w:r>
    </w:p>
    <w:p>
      <w:pPr>
        <w:spacing w:before="0" w:after="0" w:line="480" w:lineRule="auto"/>
        <w:ind w:left="720" w:hanging="720"/>
        <w:jc w:val="left"/>
      </w:pPr>
      <w:r>
        <w:rPr>
          <w:rFonts w:ascii="Georgia" w:hAnsi="Georgia"/>
          <w:sz w:val="22"/>
        </w:rPr>
        <w:t xml:space="preserve">Luxe Organix. (2024). Treat your skin to body care that will keep it glowing all day! (Facebook Post). https://www.facebook.com/share/v/19iKAX1GJZ/</w:t>
      </w:r>
    </w:p>
    <w:p>
      <w:pPr>
        <w:spacing w:before="0" w:after="0" w:line="480" w:lineRule="auto"/>
        <w:ind w:left="720" w:hanging="720"/>
        <w:jc w:val="left"/>
      </w:pPr>
      <w:r>
        <w:rPr>
          <w:rFonts w:ascii="Georgia" w:hAnsi="Georgia"/>
          <w:sz w:val="22"/>
        </w:rPr>
        <w:t xml:space="preserve">Luxe Organix. (2025). Your go-to for nourished, glossy lips with a hint of tint! (Facebook Post). https://www.facebook.com/share/r/14sphNJqpKJ/</w:t>
      </w:r>
    </w:p>
    <w:p>
      <w:pPr>
        <w:spacing w:before="0" w:after="0" w:line="480" w:lineRule="auto"/>
        <w:ind w:left="720" w:hanging="720"/>
        <w:jc w:val="left"/>
      </w:pPr>
      <w:r>
        <w:rPr>
          <w:rFonts w:ascii="Georgia" w:hAnsi="Georgia"/>
          <w:sz w:val="22"/>
        </w:rPr>
        <w:t xml:space="preserve">Luxe Organix. (2025). Start your routine with a skin-calming cleanse (Facebook Post). https://www.facebook.com/share/p/1Dk66gmjEA/</w:t>
      </w:r>
    </w:p>
    <w:p>
      <w:pPr>
        <w:spacing w:before="0" w:after="0" w:line="480" w:lineRule="auto"/>
        <w:ind w:left="720" w:hanging="720"/>
        <w:jc w:val="left"/>
      </w:pPr>
      <w:r>
        <w:rPr>
          <w:rFonts w:ascii="Georgia" w:hAnsi="Georgia"/>
          <w:sz w:val="22"/>
        </w:rPr>
        <w:t xml:space="preserve">Luxe Organix. (2026). Say hello to glowing, protected skin (Facebook Post). https://www.facebook.com/share/r/1Ny7w92hEp/</w:t>
      </w:r>
    </w:p>
    <w:p>
      <w:pPr>
        <w:spacing w:before="0" w:after="0" w:line="480" w:lineRule="auto"/>
        <w:ind w:left="720" w:hanging="720"/>
        <w:jc w:val="left"/>
      </w:pPr>
      <w:r>
        <w:rPr>
          <w:rFonts w:ascii="Georgia" w:hAnsi="Georgia"/>
          <w:sz w:val="22"/>
        </w:rPr>
        <w:t xml:space="preserve">Mananquil, R. (2009). On Golden Pond’s. Philstar.com. https://www.philstar.com/lifestyle/fashion-and-beauty/2009/12/23/534716/golden-ponds?</w:t>
      </w:r>
    </w:p>
    <w:p>
      <w:pPr>
        <w:spacing w:before="0" w:after="0" w:line="480" w:lineRule="auto"/>
        <w:ind w:left="720" w:hanging="720"/>
        <w:jc w:val="left"/>
      </w:pPr>
      <w:r>
        <w:rPr>
          <w:rFonts w:ascii="Georgia" w:hAnsi="Georgia"/>
          <w:sz w:val="22"/>
        </w:rPr>
        <w:t xml:space="preserve">McCormick, K., &amp; McCormick, K. (2026). Social media advertising in 2026: Costs, types, tips &amp; top channels. WordStream. https://share.google/fl9hXfbriNZC8D8oe</w:t>
      </w:r>
    </w:p>
    <w:p>
      <w:pPr>
        <w:spacing w:before="0" w:after="0" w:line="480" w:lineRule="auto"/>
        <w:ind w:left="720" w:hanging="720"/>
        <w:jc w:val="left"/>
      </w:pPr>
      <w:r>
        <w:rPr>
          <w:rFonts w:ascii="Georgia" w:hAnsi="Georgia"/>
          <w:sz w:val="22"/>
        </w:rPr>
        <w:t xml:space="preserve">Moorthi, V., &amp; Moorthi, V. (2025). What is Social Media Advertising? A Beginner’s Guide. Sprinklr. https://share.google/GZGUJ6XHUG2gJx1wl</w:t>
      </w:r>
    </w:p>
    <w:p>
      <w:pPr>
        <w:spacing w:before="0" w:after="0" w:line="480" w:lineRule="auto"/>
        <w:ind w:left="720" w:hanging="720"/>
        <w:jc w:val="left"/>
      </w:pPr>
      <w:r>
        <w:rPr>
          <w:rFonts w:ascii="Georgia" w:hAnsi="Georgia"/>
          <w:sz w:val="22"/>
        </w:rPr>
        <w:t xml:space="preserve">Myra. (2023). May i-go-glow ka pa, kaya ang inner queen mo, ilabas mo na! ​ (Facebook Post).https://www.facebook.com/share/p/1avkRdgMFb/</w:t>
      </w:r>
    </w:p>
    <w:p>
      <w:pPr>
        <w:spacing w:before="0" w:after="0" w:line="480" w:lineRule="auto"/>
        <w:ind w:left="720" w:hanging="720"/>
        <w:jc w:val="left"/>
      </w:pPr>
      <w:r>
        <w:rPr>
          <w:rFonts w:ascii="Georgia" w:hAnsi="Georgia"/>
          <w:sz w:val="22"/>
        </w:rPr>
        <w:t xml:space="preserve">Myra. (2023). Get that confident glow with Kelsey and Myra Facial Wash! (Facebook Post).https://www.facebook.com/share/v/1dXVZy9vmK/</w:t>
      </w:r>
    </w:p>
    <w:p>
      <w:pPr>
        <w:spacing w:before="0" w:after="0" w:line="480" w:lineRule="auto"/>
        <w:ind w:left="720" w:hanging="720"/>
        <w:jc w:val="left"/>
      </w:pPr>
      <w:r>
        <w:rPr>
          <w:rFonts w:ascii="Georgia" w:hAnsi="Georgia"/>
          <w:sz w:val="22"/>
        </w:rPr>
        <w:t xml:space="preserve">Myra. (2024). This Mother's Day, let's all celebrate the ultimate queens of our hearts; (Facebook Post).https://www.facebook.com/share/p/1DpbG8xzAS/</w:t>
      </w:r>
    </w:p>
    <w:p>
      <w:pPr>
        <w:spacing w:before="0" w:after="0" w:line="480" w:lineRule="auto"/>
        <w:ind w:left="720" w:hanging="720"/>
        <w:jc w:val="left"/>
      </w:pPr>
      <w:r>
        <w:rPr>
          <w:rFonts w:ascii="Georgia" w:hAnsi="Georgia"/>
          <w:sz w:val="22"/>
        </w:rPr>
        <w:t xml:space="preserve">Myra. (2024). Get Your Glow On This Holiday Season! (Facebook Post).https://www.facebook.com/share/p/1GenNeKNxS/</w:t>
      </w:r>
    </w:p>
    <w:p>
      <w:pPr>
        <w:spacing w:before="0" w:after="0" w:line="480" w:lineRule="auto"/>
        <w:ind w:left="720" w:hanging="720"/>
        <w:jc w:val="left"/>
      </w:pPr>
      <w:r>
        <w:rPr>
          <w:rFonts w:ascii="Georgia" w:hAnsi="Georgia"/>
          <w:sz w:val="22"/>
        </w:rPr>
        <w:t xml:space="preserve">Myra. (2025). Myra is now LIVE on the UL Skin Sciences Webstore! (Facebook Post). https://www.facebook.com/share/p/19XRxcdnGi/</w:t>
      </w:r>
    </w:p>
    <w:p>
      <w:pPr>
        <w:spacing w:before="0" w:after="0" w:line="480" w:lineRule="auto"/>
        <w:ind w:left="720" w:hanging="720"/>
        <w:jc w:val="left"/>
      </w:pPr>
      <w:r>
        <w:rPr>
          <w:rFonts w:ascii="Georgia" w:hAnsi="Georgia"/>
          <w:sz w:val="22"/>
        </w:rPr>
        <w:t xml:space="preserve">Myra. (2025). Experience the Gluta made by Myra (Facebook Post).https://www.facebook.com/share/p/1EJCE3Md2t/</w:t>
      </w:r>
    </w:p>
    <w:p>
      <w:pPr>
        <w:spacing w:before="0" w:after="0" w:line="480" w:lineRule="auto"/>
        <w:ind w:left="720" w:hanging="720"/>
        <w:jc w:val="left"/>
      </w:pPr>
      <w:r>
        <w:rPr>
          <w:rFonts w:ascii="Georgia" w:hAnsi="Georgia"/>
          <w:sz w:val="22"/>
        </w:rPr>
        <w:t xml:space="preserve">Myra. (2026). Help reveal your powerful glow with regular use of Myra Glow Vitamin Lotion—NEW LOOK NA! (Facebook Post). https://www.facebook.com/share/p/1Qb8Eir7ka/</w:t>
      </w:r>
    </w:p>
    <w:p>
      <w:pPr>
        <w:spacing w:before="0" w:after="0" w:line="480" w:lineRule="auto"/>
        <w:ind w:left="720" w:hanging="720"/>
        <w:jc w:val="left"/>
      </w:pPr>
      <w:r>
        <w:rPr>
          <w:rFonts w:ascii="Georgia" w:hAnsi="Georgia"/>
          <w:sz w:val="22"/>
        </w:rPr>
        <w:t xml:space="preserve">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left="720" w:hanging="720"/>
        <w:jc w:val="left"/>
      </w:pPr>
      <w:r>
        <w:rPr>
          <w:rFonts w:ascii="Georgia" w:hAnsi="Georgia"/>
          <w:sz w:val="22"/>
        </w:rPr>
        <w:t xml:space="preserve">Nguyen, S. D. (2025). Interpreting creative call to action messages in advertising discourse using requestive strategies. Journal of Media &amp; Management, Volume 7(4): 8-8, 8. https://doi.org/10.47363/JMM/2025(7)190</w:t>
      </w:r>
    </w:p>
    <w:p>
      <w:pPr>
        <w:spacing w:before="0" w:after="0" w:line="480" w:lineRule="auto"/>
        <w:ind w:left="720" w:hanging="720"/>
        <w:jc w:val="left"/>
      </w:pPr>
      <w:r>
        <w:rPr>
          <w:rFonts w:ascii="Georgia" w:hAnsi="Georgia"/>
          <w:sz w:val="22"/>
        </w:rPr>
        <w:t xml:space="preserve">Olay. (2023). Don’t let the scorching heat dry your skin! (Facebook Post).https://www.facebook.com/share/p/1GePGMfKJo/</w:t>
      </w:r>
    </w:p>
    <w:p>
      <w:pPr>
        <w:spacing w:before="0" w:after="0" w:line="480" w:lineRule="auto"/>
        <w:ind w:left="720" w:hanging="720"/>
        <w:jc w:val="left"/>
      </w:pPr>
      <w:r>
        <w:rPr>
          <w:rFonts w:ascii="Georgia" w:hAnsi="Georgia"/>
          <w:sz w:val="22"/>
        </w:rPr>
        <w:t xml:space="preserve">Olay. (2023). Wrap your skin in love this holiday! (Facebook Post). https://www.facebook.com/share/p/1GePGMfKJo/</w:t>
      </w:r>
    </w:p>
    <w:p>
      <w:pPr>
        <w:spacing w:before="0" w:after="0" w:line="480" w:lineRule="auto"/>
        <w:ind w:left="720" w:hanging="720"/>
        <w:jc w:val="left"/>
      </w:pPr>
      <w:r>
        <w:rPr>
          <w:rFonts w:ascii="Georgia" w:hAnsi="Georgia"/>
          <w:sz w:val="22"/>
        </w:rPr>
        <w:t xml:space="preserve">Olay. (2024). IT'S OUR BIGGEST SALE EVER! (Facebook Post). https://www.facebook.com/share/p/1KJPJUaZQV/</w:t>
      </w:r>
    </w:p>
    <w:p>
      <w:pPr>
        <w:spacing w:before="0" w:after="0" w:line="480" w:lineRule="auto"/>
        <w:ind w:left="720" w:hanging="720"/>
        <w:jc w:val="left"/>
      </w:pPr>
      <w:r>
        <w:rPr>
          <w:rFonts w:ascii="Georgia" w:hAnsi="Georgia"/>
          <w:sz w:val="22"/>
        </w:rPr>
        <w:t xml:space="preserve">Olay. (2024). Shop now and win amazing prizes with every minimum spend on your favorite Olay products! (Facebook Post). https://www.facebook.com/share/p/1LM7nRwDMh/</w:t>
      </w:r>
    </w:p>
    <w:p>
      <w:pPr>
        <w:spacing w:before="0" w:after="0" w:line="480" w:lineRule="auto"/>
        <w:ind w:left="720" w:hanging="720"/>
        <w:jc w:val="left"/>
      </w:pPr>
      <w:r>
        <w:rPr>
          <w:rFonts w:ascii="Georgia" w:hAnsi="Georgia"/>
          <w:sz w:val="22"/>
        </w:rPr>
        <w:t xml:space="preserve">Olay. (2025). Feel SUPER with all-new OLAY SUPER SERUM. (Facebook Post). https://www.facebook.com/share/p/1EaKgLWF79/</w:t>
      </w:r>
    </w:p>
    <w:p>
      <w:pPr>
        <w:spacing w:before="0" w:after="0" w:line="480" w:lineRule="auto"/>
        <w:ind w:left="720" w:hanging="720"/>
        <w:jc w:val="left"/>
      </w:pPr>
      <w:r>
        <w:rPr>
          <w:rFonts w:ascii="Georgia" w:hAnsi="Georgia"/>
          <w:sz w:val="22"/>
        </w:rPr>
        <w:t xml:space="preserve">Olay. (2025). Say hello to younger-looking skin with Olay Total Effects! (Facebook Post). https://www.facebook.com/share/p/1HMPTRCjss/</w:t>
      </w:r>
    </w:p>
    <w:p>
      <w:pPr>
        <w:spacing w:before="0" w:after="0" w:line="480" w:lineRule="auto"/>
        <w:ind w:left="720" w:hanging="720"/>
        <w:jc w:val="left"/>
      </w:pPr>
      <w:r>
        <w:rPr>
          <w:rFonts w:ascii="Georgia" w:hAnsi="Georgia"/>
          <w:sz w:val="22"/>
        </w:rPr>
        <w:t xml:space="preserve">Olay. (2026). Step into your #SuperEra with Olay Shopee Brand Day this Feb 24. (Facebook Post). https://www.facebook.com/share/p/1DjtRnQKEq/</w:t>
      </w:r>
    </w:p>
    <w:p>
      <w:pPr>
        <w:spacing w:before="0" w:after="0" w:line="480" w:lineRule="auto"/>
        <w:ind w:left="720" w:hanging="720"/>
        <w:jc w:val="left"/>
      </w:pPr>
      <w:r>
        <w:rPr>
          <w:rFonts w:ascii="Georgia" w:hAnsi="Georgia"/>
          <w:sz w:val="22"/>
        </w:rPr>
        <w:t xml:space="preserve">Pennock-Speck, B., &amp; Fuster-Márquez, M. (2014). Imperatives in voice-overs in British TV commercials: “Get this, buy that, taste the other.” Discourse &amp; Communication, 8(4), 411–426. https://doi.org/10.1177/1750481314537578</w:t>
      </w:r>
    </w:p>
    <w:p>
      <w:pPr>
        <w:spacing w:before="0" w:after="0" w:line="480" w:lineRule="auto"/>
        <w:ind w:left="720" w:hanging="720"/>
        <w:jc w:val="left"/>
      </w:pPr>
      <w:r>
        <w:rPr>
          <w:rFonts w:ascii="Georgia" w:hAnsi="Georgia"/>
          <w:sz w:val="22"/>
        </w:rPr>
        <w:t xml:space="preserve">Pond’s. (2023). Get that bright, spot-less glow with POND’S Triple Glow Serum! ( Facebook Post).</w:t>
      </w:r>
    </w:p>
    <w:p>
      <w:pPr>
        <w:spacing w:before="0" w:after="0" w:line="480" w:lineRule="auto"/>
        <w:ind w:left="720" w:hanging="720"/>
        <w:jc w:val="left"/>
      </w:pPr>
      <w:r>
        <w:rPr>
          <w:rFonts w:ascii="Georgia" w:hAnsi="Georgia"/>
          <w:sz w:val="22"/>
        </w:rPr>
        <w:t xml:space="preserve">Pond’s. (2023). Collagen loss is inevitable and your everyday stress doesn’t help! (Facebook Post). https://www.facebook.com/share/v/1CFSvPgtmo/</w:t>
      </w:r>
    </w:p>
    <w:p>
      <w:pPr>
        <w:spacing w:before="0" w:after="0" w:line="480" w:lineRule="auto"/>
        <w:ind w:left="720" w:hanging="720"/>
        <w:jc w:val="left"/>
      </w:pPr>
      <w:r>
        <w:rPr>
          <w:rFonts w:ascii="Georgia" w:hAnsi="Georgia"/>
          <w:sz w:val="22"/>
        </w:rPr>
        <w:t xml:space="preserve">Pond’s. (2024). Struggling with acne marks, dark spots, or dullness? ( Facebook Post). https://www.facebook.com/share/v/1DUhe1WukX/</w:t>
      </w:r>
    </w:p>
    <w:p>
      <w:pPr>
        <w:spacing w:before="0" w:after="0" w:line="480" w:lineRule="auto"/>
        <w:ind w:left="720" w:hanging="720"/>
        <w:jc w:val="left"/>
      </w:pPr>
      <w:r>
        <w:rPr>
          <w:rFonts w:ascii="Georgia" w:hAnsi="Georgia"/>
          <w:sz w:val="22"/>
        </w:rPr>
        <w:t xml:space="preserve">Pond’s. (2025). Introducing the new Pond’s UV Miracle range – our new ultra-light sunscreens with 50x sun protection. ( Facebook Post).https://www.facebook.com/share/p/1EnnHAJa17/</w:t>
      </w:r>
    </w:p>
    <w:p>
      <w:pPr>
        <w:spacing w:before="0" w:after="0" w:line="480" w:lineRule="auto"/>
        <w:ind w:left="720" w:hanging="720"/>
        <w:jc w:val="left"/>
      </w:pPr>
      <w:r>
        <w:rPr>
          <w:rFonts w:ascii="Georgia" w:hAnsi="Georgia"/>
          <w:sz w:val="22"/>
        </w:rPr>
        <w:t xml:space="preserve">Pond’s. (2025). Unlock the secret to stronger, plumper, radiant skin. ( Facebook Post). https://www.facebook.com/share/r/18kQA498vb/</w:t>
      </w:r>
    </w:p>
    <w:p>
      <w:pPr>
        <w:spacing w:before="0" w:after="0" w:line="480" w:lineRule="auto"/>
        <w:ind w:left="720" w:hanging="720"/>
        <w:jc w:val="left"/>
      </w:pPr>
      <w:r>
        <w:rPr>
          <w:rFonts w:ascii="Georgia" w:hAnsi="Georgia"/>
          <w:sz w:val="22"/>
        </w:rPr>
        <w:t xml:space="preserve">Pond’s. (2026). Keeping it light with @bellemariano ( Facebook Post).https://www.facebook.com/share/r/1GRfEJBGB8/</w:t>
      </w:r>
    </w:p>
    <w:p>
      <w:pPr>
        <w:spacing w:before="0" w:after="0" w:line="480" w:lineRule="auto"/>
        <w:ind w:left="720" w:hanging="720"/>
        <w:jc w:val="left"/>
      </w:pPr>
      <w:r>
        <w:rPr>
          <w:rFonts w:ascii="Georgia" w:hAnsi="Georgia"/>
          <w:sz w:val="22"/>
        </w:rPr>
        <w:t xml:space="preserve">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left="720" w:hanging="720"/>
        <w:jc w:val="left"/>
      </w:pPr>
      <w:r>
        <w:rPr>
          <w:rFonts w:ascii="Georgia" w:hAnsi="Georgia"/>
          <w:sz w:val="22"/>
        </w:rPr>
        <w:t xml:space="preserve">Rapp, C. (2022). Aristotle’s rhetoric. In E. N. Zalta (Ed.), The Stanford Encyclopedia of Philosophy (Spring 2022 ed.). Stanford University. https://plato.stanford.edu/entries/aristotle-rhetoric/</w:t>
      </w:r>
    </w:p>
    <w:p>
      <w:pPr>
        <w:spacing w:before="0" w:after="0" w:line="480" w:lineRule="auto"/>
        <w:ind w:left="720" w:hanging="720"/>
        <w:jc w:val="left"/>
      </w:pPr>
      <w:r>
        <w:rPr>
          <w:rFonts w:ascii="Georgia" w:hAnsi="Georgia"/>
          <w:sz w:val="22"/>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left="720" w:hanging="720"/>
        <w:jc w:val="left"/>
      </w:pPr>
      <w:r>
        <w:rPr>
          <w:rFonts w:ascii="Georgia" w:hAnsi="Georgia"/>
          <w:sz w:val="22"/>
        </w:rPr>
        <w:t xml:space="preserve">Searle, J. R. (1975). A taxonomy of illocutionary acts: Vol. VII (pp. 344–369). https://doi.org/10.1017/cbo9780511609213.003</w:t>
      </w:r>
    </w:p>
    <w:p>
      <w:pPr>
        <w:spacing w:before="0" w:after="0" w:line="480" w:lineRule="auto"/>
        <w:ind w:left="720" w:hanging="720"/>
        <w:jc w:val="left"/>
      </w:pPr>
      <w:r>
        <w:rPr>
          <w:rFonts w:ascii="Georgia" w:hAnsi="Georgia"/>
          <w:sz w:val="22"/>
        </w:rPr>
        <w:t xml:space="preserve">Searle, J. R. (1976). A classification of illocutionary acts. Language in Society, 5(1), 1–23. https://doi.org/10.1017/S0047404500006837</w:t>
      </w:r>
    </w:p>
    <w:p>
      <w:pPr>
        <w:spacing w:before="0" w:after="0" w:line="480" w:lineRule="auto"/>
        <w:ind w:left="720" w:hanging="720"/>
        <w:jc w:val="left"/>
      </w:pPr>
      <w:r>
        <w:rPr>
          <w:rFonts w:ascii="Georgia" w:hAnsi="Georgia"/>
          <w:sz w:val="22"/>
        </w:rPr>
        <w:t xml:space="preserve">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left="720" w:hanging="720"/>
        <w:jc w:val="left"/>
      </w:pPr>
      <w:r>
        <w:rPr>
          <w:rFonts w:ascii="Georgia" w:hAnsi="Georgia"/>
          <w:sz w:val="22"/>
        </w:rPr>
        <w:t xml:space="preserve">Stanford Encyclopedia of Philosophy. (2022). Aristotle’s rhetoric. https://share.google/ItMEB6Cu60yuw0QVd</w:t>
      </w:r>
    </w:p>
    <w:p>
      <w:pPr>
        <w:spacing w:before="0" w:after="0" w:line="480" w:lineRule="auto"/>
        <w:ind w:left="720" w:hanging="720"/>
        <w:jc w:val="left"/>
      </w:pPr>
      <w:r>
        <w:rPr>
          <w:rFonts w:ascii="Georgia" w:hAnsi="Georgia"/>
          <w:sz w:val="22"/>
        </w:rPr>
        <w:t xml:space="preserve">Statista. (2026). Most used social networks 2025, by number of users. https://share.google/uNNWMR0oxQ6flNhQD</w:t>
      </w:r>
    </w:p>
    <w:p>
      <w:pPr>
        <w:spacing w:before="0" w:after="0" w:line="480" w:lineRule="auto"/>
        <w:ind w:left="720" w:hanging="720"/>
        <w:jc w:val="left"/>
      </w:pPr>
      <w:r>
        <w:rPr>
          <w:rFonts w:ascii="Georgia" w:hAnsi="Georgia"/>
          <w:sz w:val="22"/>
        </w:rPr>
        <w:t xml:space="preserve">Sujinamol P. (2026). IMPACT OF SOCIAL MEDIA ADVERTISING ON CONSUMER BUYING DECISIONS. ShodhSamajik Journal of Social Studies, 3(1), 56–63. https://doi.org/10.29121/shodhsamajik.v3.i1.2026.76</w:t>
      </w:r>
    </w:p>
    <w:p>
      <w:pPr>
        <w:spacing w:before="0" w:after="0" w:line="480" w:lineRule="auto"/>
        <w:ind w:left="720" w:hanging="720"/>
        <w:jc w:val="left"/>
      </w:pPr>
      <w:r>
        <w:rPr>
          <w:rFonts w:ascii="Georgia" w:hAnsi="Georgia"/>
          <w:sz w:val="22"/>
        </w:rPr>
        <w:t xml:space="preserve">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left="720" w:hanging="720"/>
        <w:jc w:val="left"/>
      </w:pPr>
      <w:r>
        <w:rPr>
          <w:rFonts w:ascii="Georgia" w:hAnsi="Georgia"/>
          <w:sz w:val="22"/>
        </w:rPr>
        <w:t xml:space="preserve">Teehankee, P. (2016). Be your ‘best beautiful.’ Philstar.com. https://www.philstar.com/other-sections/newsmakers/2016/11/11/1641397/be-your-best-beautiful</w:t>
      </w:r>
    </w:p>
    <w:p>
      <w:pPr>
        <w:spacing w:before="0" w:after="0" w:line="480" w:lineRule="auto"/>
        <w:ind w:left="720" w:hanging="720"/>
        <w:jc w:val="left"/>
      </w:pPr>
      <w:r>
        <w:rPr>
          <w:rFonts w:ascii="Georgia" w:hAnsi="Georgia"/>
          <w:sz w:val="22"/>
        </w:rPr>
        <w:t xml:space="preserve">Tenny, S., Brannan, J. M., &amp; Brannan, G. D. (2022). Qualitative Study. StatPearls - NCBI Bookshelf. https://share.google/IFanouegVEjbWB3Fb</w:t>
      </w:r>
    </w:p>
    <w:p>
      <w:pPr>
        <w:spacing w:before="0" w:after="0" w:line="480" w:lineRule="auto"/>
        <w:ind w:left="720" w:hanging="720"/>
        <w:jc w:val="left"/>
      </w:pPr>
      <w:r>
        <w:rPr>
          <w:rFonts w:ascii="Georgia" w:hAnsi="Georgia"/>
          <w:sz w:val="22"/>
        </w:rPr>
        <w:t xml:space="preserve">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left="720" w:hanging="720"/>
        <w:jc w:val="left"/>
      </w:pPr>
      <w:r>
        <w:rPr>
          <w:rFonts w:ascii="Georgia" w:hAnsi="Georgia"/>
          <w:sz w:val="22"/>
        </w:rPr>
        <w:t xml:space="preserve">Yule, G. (1996). Pragmatics. Oxford University Press. https://books.google.com.ph/books?id=9trRnQEACAAJ&amp;lpg=PP1&amp;pg=PR4#v=onepage&amp;q&amp;f=fals</w:t>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1D5">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7">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drawing>
          <wp:inline distB="0" distT="0" distL="0" distR="0">
            <wp:extent cx="1285034" cy="2398712"/>
            <wp:effectExtent b="0" l="0" r="0" t="0"/>
            <wp:docPr id="32"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7.png"/>
            <a:graphic>
              <a:graphicData uri="http://schemas.openxmlformats.org/drawingml/2006/picture">
                <pic:pic>
                  <pic:nvPicPr>
                    <pic:cNvPr id="0" name="image27.png"/>
                    <pic:cNvPicPr preferRelativeResize="0"/>
                  </pic:nvPicPr>
                  <pic:blipFill>
                    <a:blip r:embed="rId19"/>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23.png"/>
            <a:graphic>
              <a:graphicData uri="http://schemas.openxmlformats.org/drawingml/2006/picture">
                <pic:pic>
                  <pic:nvPicPr>
                    <pic:cNvPr id="0" name="image23.png"/>
                    <pic:cNvPicPr preferRelativeResize="0"/>
                  </pic:nvPicPr>
                  <pic:blipFill>
                    <a:blip r:embed="rId20"/>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400175" cy="3352800"/>
            <wp:effectExtent b="0" l="0" r="0" t="0"/>
            <wp:docPr id="36" name="image28.png"/>
            <a:graphic>
              <a:graphicData uri="http://schemas.openxmlformats.org/drawingml/2006/picture">
                <pic:pic>
                  <pic:nvPicPr>
                    <pic:cNvPr id="0" name="image28.png"/>
                    <pic:cNvPicPr preferRelativeResize="0"/>
                  </pic:nvPicPr>
                  <pic:blipFill>
                    <a:blip r:embed="rId21"/>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29.png"/>
            <a:graphic>
              <a:graphicData uri="http://schemas.openxmlformats.org/drawingml/2006/picture">
                <pic:pic>
                  <pic:nvPicPr>
                    <pic:cNvPr id="0" name="image29.png"/>
                    <pic:cNvPicPr preferRelativeResize="0"/>
                  </pic:nvPicPr>
                  <pic:blipFill>
                    <a:blip r:embed="rId22"/>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4.png"/>
            <a:graphic>
              <a:graphicData uri="http://schemas.openxmlformats.org/drawingml/2006/picture">
                <pic:pic>
                  <pic:nvPicPr>
                    <pic:cNvPr id="0" name="image34.png"/>
                    <pic:cNvPicPr preferRelativeResize="0"/>
                  </pic:nvPicPr>
                  <pic:blipFill>
                    <a:blip r:embed="rId23"/>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266825" cy="3156500"/>
            <wp:effectExtent b="0" l="0" r="0" t="0"/>
            <wp:docPr id="37" name="image35.png"/>
            <a:graphic>
              <a:graphicData uri="http://schemas.openxmlformats.org/drawingml/2006/picture">
                <pic:pic>
                  <pic:nvPicPr>
                    <pic:cNvPr id="0" name="image35.png"/>
                    <pic:cNvPicPr preferRelativeResize="0"/>
                  </pic:nvPicPr>
                  <pic:blipFill>
                    <a:blip r:embed="rId24"/>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36.png"/>
            <a:graphic>
              <a:graphicData uri="http://schemas.openxmlformats.org/drawingml/2006/picture">
                <pic:pic>
                  <pic:nvPicPr>
                    <pic:cNvPr id="0" name="image36.png"/>
                    <pic:cNvPicPr preferRelativeResize="0"/>
                  </pic:nvPicPr>
                  <pic:blipFill>
                    <a:blip r:embed="rId25"/>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8.png"/>
            <a:graphic>
              <a:graphicData uri="http://schemas.openxmlformats.org/drawingml/2006/picture">
                <pic:pic>
                  <pic:nvPicPr>
                    <pic:cNvPr id="0" name="image38.png"/>
                    <pic:cNvPicPr preferRelativeResize="0"/>
                  </pic:nvPicPr>
                  <pic:blipFill>
                    <a:blip r:embed="rId26"/>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30.png"/>
            <a:graphic>
              <a:graphicData uri="http://schemas.openxmlformats.org/drawingml/2006/picture">
                <pic:pic>
                  <pic:nvPicPr>
                    <pic:cNvPr id="0" name="image30.png"/>
                    <pic:cNvPicPr preferRelativeResize="0"/>
                  </pic:nvPicPr>
                  <pic:blipFill>
                    <a:blip r:embed="rId27"/>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rtl w:val="0"/>
        </w:rPr>
      </w:r>
    </w:p>
    <w:p w:rsidR="00000000" w:rsidDel="00000000" w:rsidP="00000000" w:rsidRDefault="00000000" w:rsidRPr="00000000" w14:paraId="000001DF">
      <w:pPr>
        <w:spacing w:after="0" w:before="0" w:line="480" w:lineRule="auto"/>
        <w:ind w:firstLine="0"/>
        <w:rPr/>
      </w:pPr>
      <w:r w:rsidDel="00000000" w:rsidR="00000000" w:rsidRPr="00000000">
        <w:rPr/>
        <w:drawing>
          <wp:inline distB="0" distT="0" distL="0" distR="0">
            <wp:extent cx="1323975" cy="3004228"/>
            <wp:effectExtent b="0" l="0" r="0" t="0"/>
            <wp:docPr id="42" name="image33.png"/>
            <a:graphic>
              <a:graphicData uri="http://schemas.openxmlformats.org/drawingml/2006/picture">
                <pic:pic>
                  <pic:nvPicPr>
                    <pic:cNvPr id="0" name="image33.png"/>
                    <pic:cNvPicPr preferRelativeResize="0"/>
                  </pic:nvPicPr>
                  <pic:blipFill>
                    <a:blip r:embed="rId28"/>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37.png"/>
            <a:graphic>
              <a:graphicData uri="http://schemas.openxmlformats.org/drawingml/2006/picture">
                <pic:pic>
                  <pic:nvPicPr>
                    <pic:cNvPr id="0" name="image37.png"/>
                    <pic:cNvPicPr preferRelativeResize="0"/>
                  </pic:nvPicPr>
                  <pic:blipFill>
                    <a:blip r:embed="rId29"/>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40.png"/>
            <a:graphic>
              <a:graphicData uri="http://schemas.openxmlformats.org/drawingml/2006/picture">
                <pic:pic>
                  <pic:nvPicPr>
                    <pic:cNvPr id="0" name="image40.png"/>
                    <pic:cNvPicPr preferRelativeResize="0"/>
                  </pic:nvPicPr>
                  <pic:blipFill>
                    <a:blip r:embed="rId30"/>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E2">
      <w:pPr>
        <w:spacing w:after="0" w:before="0" w:line="480" w:lineRule="auto"/>
        <w:ind w:firstLine="0"/>
        <w:rPr/>
      </w:pPr>
      <w:r w:rsidDel="00000000" w:rsidR="00000000" w:rsidRPr="00000000">
        <w:rPr/>
        <w:drawing>
          <wp:inline distB="0" distT="0" distL="0" distR="0">
            <wp:extent cx="1179610" cy="2019300"/>
            <wp:effectExtent b="0" l="0" r="0" t="0"/>
            <wp:docPr id="45" name="image42.png"/>
            <a:graphic>
              <a:graphicData uri="http://schemas.openxmlformats.org/drawingml/2006/picture">
                <pic:pic>
                  <pic:nvPicPr>
                    <pic:cNvPr id="0" name="image42.png"/>
                    <pic:cNvPicPr preferRelativeResize="0"/>
                  </pic:nvPicPr>
                  <pic:blipFill>
                    <a:blip r:embed="rId31"/>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1.png"/>
            <a:graphic>
              <a:graphicData uri="http://schemas.openxmlformats.org/drawingml/2006/picture">
                <pic:pic>
                  <pic:nvPicPr>
                    <pic:cNvPr id="0" name="image31.png"/>
                    <pic:cNvPicPr preferRelativeResize="0"/>
                  </pic:nvPicPr>
                  <pic:blipFill>
                    <a:blip r:embed="rId32"/>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2.png"/>
            <a:graphic>
              <a:graphicData uri="http://schemas.openxmlformats.org/drawingml/2006/picture">
                <pic:pic>
                  <pic:nvPicPr>
                    <pic:cNvPr id="0" name="image32.png"/>
                    <pic:cNvPicPr preferRelativeResize="0"/>
                  </pic:nvPicPr>
                  <pic:blipFill>
                    <a:blip r:embed="rId33"/>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4"/>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0" w:before="0" w:line="480" w:lineRule="auto"/>
        <w:ind w:firstLine="0"/>
        <w:rPr/>
      </w:pPr>
      <w:r w:rsidDel="00000000" w:rsidR="00000000" w:rsidRPr="00000000">
        <w:rPr/>
        <w:drawing>
          <wp:inline distB="0" distT="0" distL="0" distR="0">
            <wp:extent cx="1323975" cy="3172971"/>
            <wp:effectExtent b="0" l="0" r="0" t="0"/>
            <wp:docPr id="49" name="image39.png"/>
            <a:graphic>
              <a:graphicData uri="http://schemas.openxmlformats.org/drawingml/2006/picture">
                <pic:pic>
                  <pic:nvPicPr>
                    <pic:cNvPr id="0" name="image39.png"/>
                    <pic:cNvPicPr preferRelativeResize="0"/>
                  </pic:nvPicPr>
                  <pic:blipFill>
                    <a:blip r:embed="rId35"/>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13.png"/>
            <a:graphic>
              <a:graphicData uri="http://schemas.openxmlformats.org/drawingml/2006/picture">
                <pic:pic>
                  <pic:nvPicPr>
                    <pic:cNvPr id="0" name="image13.png"/>
                    <pic:cNvPicPr preferRelativeResize="0"/>
                  </pic:nvPicPr>
                  <pic:blipFill>
                    <a:blip r:embed="rId36"/>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8.png"/>
            <a:graphic>
              <a:graphicData uri="http://schemas.openxmlformats.org/drawingml/2006/picture">
                <pic:pic>
                  <pic:nvPicPr>
                    <pic:cNvPr id="0" name="image18.png"/>
                    <pic:cNvPicPr preferRelativeResize="0"/>
                  </pic:nvPicPr>
                  <pic:blipFill>
                    <a:blip r:embed="rId37"/>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6">
      <w:pPr>
        <w:spacing w:after="0" w:before="0" w:line="480" w:lineRule="auto"/>
        <w:ind w:firstLine="0"/>
        <w:rPr/>
      </w:pPr>
      <w:r w:rsidDel="00000000" w:rsidR="00000000" w:rsidRPr="00000000">
        <w:rPr/>
        <w:drawing>
          <wp:inline distB="0" distT="0" distL="0" distR="0">
            <wp:extent cx="1244235" cy="2118563"/>
            <wp:effectExtent b="0" l="0" r="0" t="0"/>
            <wp:docPr id="22" name="image14.png"/>
            <a:graphic>
              <a:graphicData uri="http://schemas.openxmlformats.org/drawingml/2006/picture">
                <pic:pic>
                  <pic:nvPicPr>
                    <pic:cNvPr id="0" name="image14.png"/>
                    <pic:cNvPicPr preferRelativeResize="0"/>
                  </pic:nvPicPr>
                  <pic:blipFill>
                    <a:blip r:embed="rId38"/>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9"/>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5.png"/>
            <a:graphic>
              <a:graphicData uri="http://schemas.openxmlformats.org/drawingml/2006/picture">
                <pic:pic>
                  <pic:nvPicPr>
                    <pic:cNvPr id="0" name="image15.png"/>
                    <pic:cNvPicPr preferRelativeResize="0"/>
                  </pic:nvPicPr>
                  <pic:blipFill>
                    <a:blip r:embed="rId40"/>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6.png"/>
            <a:graphic>
              <a:graphicData uri="http://schemas.openxmlformats.org/drawingml/2006/picture">
                <pic:pic>
                  <pic:nvPicPr>
                    <pic:cNvPr id="0" name="image16.png"/>
                    <pic:cNvPicPr preferRelativeResize="0"/>
                  </pic:nvPicPr>
                  <pic:blipFill>
                    <a:blip r:embed="rId41"/>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0.png"/>
            <a:graphic>
              <a:graphicData uri="http://schemas.openxmlformats.org/drawingml/2006/picture">
                <pic:pic>
                  <pic:nvPicPr>
                    <pic:cNvPr id="0" name="image20.png"/>
                    <pic:cNvPicPr preferRelativeResize="0"/>
                  </pic:nvPicPr>
                  <pic:blipFill>
                    <a:blip r:embed="rId42"/>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21.png"/>
            <a:graphic>
              <a:graphicData uri="http://schemas.openxmlformats.org/drawingml/2006/picture">
                <pic:pic>
                  <pic:nvPicPr>
                    <pic:cNvPr id="0" name="image21.png"/>
                    <pic:cNvPicPr preferRelativeResize="0"/>
                  </pic:nvPicPr>
                  <pic:blipFill>
                    <a:blip r:embed="rId43"/>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6.png"/>
            <a:graphic>
              <a:graphicData uri="http://schemas.openxmlformats.org/drawingml/2006/picture">
                <pic:pic>
                  <pic:nvPicPr>
                    <pic:cNvPr id="0" name="image26.png"/>
                    <pic:cNvPicPr preferRelativeResize="0"/>
                  </pic:nvPicPr>
                  <pic:blipFill>
                    <a:blip r:embed="rId44"/>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9">
      <w:pPr>
        <w:spacing w:after="0" w:before="0" w:line="480" w:lineRule="auto"/>
        <w:ind w:firstLine="0"/>
        <w:rPr/>
      </w:pPr>
      <w:r w:rsidDel="00000000" w:rsidR="00000000" w:rsidRPr="00000000">
        <w:rPr/>
        <w:drawing>
          <wp:inline distB="0" distT="0" distL="0" distR="0">
            <wp:extent cx="1457236" cy="3295340"/>
            <wp:effectExtent b="0" l="0" r="0" t="0"/>
            <wp:docPr id="29" name="image22.png"/>
            <a:graphic>
              <a:graphicData uri="http://schemas.openxmlformats.org/drawingml/2006/picture">
                <pic:pic>
                  <pic:nvPicPr>
                    <pic:cNvPr id="0" name="image22.png"/>
                    <pic:cNvPicPr preferRelativeResize="0"/>
                  </pic:nvPicPr>
                  <pic:blipFill>
                    <a:blip r:embed="rId45"/>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6.png"/>
            <a:graphic>
              <a:graphicData uri="http://schemas.openxmlformats.org/drawingml/2006/picture">
                <pic:pic>
                  <pic:nvPicPr>
                    <pic:cNvPr id="0" name="image6.png"/>
                    <pic:cNvPicPr preferRelativeResize="0"/>
                  </pic:nvPicPr>
                  <pic:blipFill>
                    <a:blip r:embed="rId46"/>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5.png"/>
            <a:graphic>
              <a:graphicData uri="http://schemas.openxmlformats.org/drawingml/2006/picture">
                <pic:pic>
                  <pic:nvPicPr>
                    <pic:cNvPr id="0" name="image5.png"/>
                    <pic:cNvPicPr preferRelativeResize="0"/>
                  </pic:nvPicPr>
                  <pic:blipFill>
                    <a:blip r:embed="rId47"/>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7.png"/>
            <a:graphic>
              <a:graphicData uri="http://schemas.openxmlformats.org/drawingml/2006/picture">
                <pic:pic>
                  <pic:nvPicPr>
                    <pic:cNvPr id="0" name="image7.png"/>
                    <pic:cNvPicPr preferRelativeResize="0"/>
                  </pic:nvPicPr>
                  <pic:blipFill>
                    <a:blip r:embed="rId48"/>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8.png"/>
            <a:graphic>
              <a:graphicData uri="http://schemas.openxmlformats.org/drawingml/2006/picture">
                <pic:pic>
                  <pic:nvPicPr>
                    <pic:cNvPr id="0" name="image8.png"/>
                    <pic:cNvPicPr preferRelativeResize="0"/>
                  </pic:nvPicPr>
                  <pic:blipFill>
                    <a:blip r:embed="rId49"/>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0.png"/>
            <a:graphic>
              <a:graphicData uri="http://schemas.openxmlformats.org/drawingml/2006/picture">
                <pic:pic>
                  <pic:nvPicPr>
                    <pic:cNvPr id="0" name="image10.png"/>
                    <pic:cNvPicPr preferRelativeResize="0"/>
                  </pic:nvPicPr>
                  <pic:blipFill>
                    <a:blip r:embed="rId50"/>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1E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1.png"/>
                  <a:graphic>
                    <a:graphicData uri="http://schemas.openxmlformats.org/drawingml/2006/picture">
                      <pic:pic>
                        <pic:nvPicPr>
                          <pic:cNvPr descr="🚚" id="0" name="image1.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8">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A">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B">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AF">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4.png"/>
                  <a:graphic>
                    <a:graphicData uri="http://schemas.openxmlformats.org/drawingml/2006/picture">
                      <pic:pic>
                        <pic:nvPicPr>
                          <pic:cNvPr descr="🫧" id="0" name="image4.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2C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C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D">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E">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0">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0">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2F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A">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19">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1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pPr>
        <w:spacing w:before="0" w:after="0" w:line="480" w:lineRule="auto"/>
        <w:sectPr>
          <w:type w:val="nextPage"/>
          <w:pgSz w:w="11906" w:h="16838"/>
          <w:pgMar w:top="1440" w:right="1440" w:bottom="1440" w:left="2160" w:header="720" w:footer="720" w:gutter="0"/>
          <w:titlePg/>
        </w:sectPr>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pPr>
        <w:spacing w:before="0" w:after="0" w:line="480" w:lineRule="auto"/>
      </w:pPr>
      <w:r>
        <w:rPr>
          <w:rFonts w:ascii="Georgia" w:hAnsi="Georgia"/>
          <w:sz w:val="22"/>
        </w:rPr>
      </w:r>
    </w:p>
    <w:p w:rsidR="00000000" w:rsidDel="00000000" w:rsidP="00000000" w:rsidRDefault="00000000" w:rsidRPr="00000000" w14:paraId="0000034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4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56">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7">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A">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B">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C">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5E">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8" w:type="default"/>
      <w:headerReference r:id="rId59" w:type="first"/>
      <w:type w:val="nextPage"/>
      <w:pgSz w:h="16834" w:w="11909"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A">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E">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0">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1">
    <w:pPr>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20.png"/><Relationship Id="rId41" Type="http://schemas.openxmlformats.org/officeDocument/2006/relationships/image" Target="media/image16.png"/><Relationship Id="rId44" Type="http://schemas.openxmlformats.org/officeDocument/2006/relationships/image" Target="media/image26.png"/><Relationship Id="rId43" Type="http://schemas.openxmlformats.org/officeDocument/2006/relationships/image" Target="media/image21.png"/><Relationship Id="rId46" Type="http://schemas.openxmlformats.org/officeDocument/2006/relationships/image" Target="media/image6.png"/><Relationship Id="rId45"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48" Type="http://schemas.openxmlformats.org/officeDocument/2006/relationships/image" Target="media/image7.png"/><Relationship Id="rId47" Type="http://schemas.openxmlformats.org/officeDocument/2006/relationships/image" Target="media/image5.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image" Target="media/image42.png"/><Relationship Id="rId30" Type="http://schemas.openxmlformats.org/officeDocument/2006/relationships/image" Target="media/image40.png"/><Relationship Id="rId33" Type="http://schemas.openxmlformats.org/officeDocument/2006/relationships/image" Target="media/image32.png"/><Relationship Id="rId32" Type="http://schemas.openxmlformats.org/officeDocument/2006/relationships/image" Target="media/image31.png"/><Relationship Id="rId35" Type="http://schemas.openxmlformats.org/officeDocument/2006/relationships/image" Target="media/image39.png"/><Relationship Id="rId34" Type="http://schemas.openxmlformats.org/officeDocument/2006/relationships/image" Target="media/image41.png"/><Relationship Id="rId37" Type="http://schemas.openxmlformats.org/officeDocument/2006/relationships/image" Target="media/image18.png"/><Relationship Id="rId36" Type="http://schemas.openxmlformats.org/officeDocument/2006/relationships/image" Target="media/image13.png"/><Relationship Id="rId39" Type="http://schemas.openxmlformats.org/officeDocument/2006/relationships/image" Target="media/image19.png"/><Relationship Id="rId38" Type="http://schemas.openxmlformats.org/officeDocument/2006/relationships/image" Target="media/image14.png"/><Relationship Id="rId20" Type="http://schemas.openxmlformats.org/officeDocument/2006/relationships/image" Target="media/image23.png"/><Relationship Id="rId22" Type="http://schemas.openxmlformats.org/officeDocument/2006/relationships/image" Target="media/image29.png"/><Relationship Id="rId21" Type="http://schemas.openxmlformats.org/officeDocument/2006/relationships/image" Target="media/image28.png"/><Relationship Id="rId24" Type="http://schemas.openxmlformats.org/officeDocument/2006/relationships/image" Target="media/image35.png"/><Relationship Id="rId23" Type="http://schemas.openxmlformats.org/officeDocument/2006/relationships/image" Target="media/image34.png"/><Relationship Id="rId26" Type="http://schemas.openxmlformats.org/officeDocument/2006/relationships/image" Target="media/image38.png"/><Relationship Id="rId25" Type="http://schemas.openxmlformats.org/officeDocument/2006/relationships/image" Target="media/image36.png"/><Relationship Id="rId28" Type="http://schemas.openxmlformats.org/officeDocument/2006/relationships/image" Target="media/image33.png"/><Relationship Id="rId27" Type="http://schemas.openxmlformats.org/officeDocument/2006/relationships/image" Target="media/image30.png"/><Relationship Id="rId29" Type="http://schemas.openxmlformats.org/officeDocument/2006/relationships/image" Target="media/image37.png"/><Relationship Id="rId51" Type="http://schemas.openxmlformats.org/officeDocument/2006/relationships/image" Target="media/image12.png"/><Relationship Id="rId50" Type="http://schemas.openxmlformats.org/officeDocument/2006/relationships/image" Target="media/image10.png"/><Relationship Id="rId53" Type="http://schemas.openxmlformats.org/officeDocument/2006/relationships/image" Target="media/image11.png"/><Relationship Id="rId52" Type="http://schemas.openxmlformats.org/officeDocument/2006/relationships/image" Target="media/image2.png"/><Relationship Id="rId11" Type="http://schemas.openxmlformats.org/officeDocument/2006/relationships/header" Target="header5.xml"/><Relationship Id="rId55" Type="http://schemas.openxmlformats.org/officeDocument/2006/relationships/image" Target="media/image9.png"/><Relationship Id="rId10" Type="http://schemas.openxmlformats.org/officeDocument/2006/relationships/header" Target="header4.xml"/><Relationship Id="rId54" Type="http://schemas.openxmlformats.org/officeDocument/2006/relationships/image" Target="media/image1.png"/><Relationship Id="rId13" Type="http://schemas.openxmlformats.org/officeDocument/2006/relationships/header" Target="header7.xml"/><Relationship Id="rId57" Type="http://schemas.openxmlformats.org/officeDocument/2006/relationships/image" Target="media/image4.png"/><Relationship Id="rId12" Type="http://schemas.openxmlformats.org/officeDocument/2006/relationships/header" Target="header6.xml"/><Relationship Id="rId56" Type="http://schemas.openxmlformats.org/officeDocument/2006/relationships/image" Target="media/image3.png"/><Relationship Id="rId15" Type="http://schemas.openxmlformats.org/officeDocument/2006/relationships/header" Target="header9.xml"/><Relationship Id="rId59" Type="http://schemas.openxmlformats.org/officeDocument/2006/relationships/header" Target="header12.xml"/><Relationship Id="rId14" Type="http://schemas.openxmlformats.org/officeDocument/2006/relationships/header" Target="header8.xml"/><Relationship Id="rId58" Type="http://schemas.openxmlformats.org/officeDocument/2006/relationships/header" Target="header11.xml"/><Relationship Id="rId17" Type="http://schemas.openxmlformats.org/officeDocument/2006/relationships/image" Target="media/image24.png"/><Relationship Id="rId16" Type="http://schemas.openxmlformats.org/officeDocument/2006/relationships/header" Target="header10.xml"/><Relationship Id="rId19" Type="http://schemas.openxmlformats.org/officeDocument/2006/relationships/image" Target="media/image27.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