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 xml:space="preserve">Empirical research on digital mental health discourse confirms that Instagram content is predominantly positive in orientation and is designed to elicit supportive interaction. Wu and Hong (2022) analyzed 7,078 posts tagged #mentalhealth and found that among posts containing human faces (n=1,472), 77.6% expressed positive caption sentiment; comment sections were dominated by supportive lexical items. They also found that when captions and images shared the same emotional tone, readers were more likely to leave positive comments, a finding that foregrounds caption-comment alignment as an empirically observable phenomenon worth investigating linguistically.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Koinig (2022) surveyed 532 active Instagram users and reported that motivational quotes received higher engagement than other content formats. Koteyko and Atanasova (2018), examining mental health advocacy tweets during Depression Awareness Week, showed how users and organisations deploy positioning strategies and multimodal resources to invite empathy, validate experience, and construct collective support. These studies establish that Instagram and related platforms intentionally use positive framing, but they stop short of categorizing the specific lexical and grammatical strategies through a PDA lens, or mapping how comment language structurally aligns with caption strategies.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2016).</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