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Times New Roman" w:cs="Georgia" w:eastAsia="Georgia" w:hAnsi="Times New Roman"/>
          <w:b w:val="1"/>
          <w:bCs w:val="1"/>
          <w:sz w:val="22"/>
          <w:szCs w:val="28"/>
          <w:rtl w:val="0"/>
        </w:rPr>
        <w:t>CONSTRUCTING HOPE AND EMPOWERMENT: LEXICAL AND GRAMMATICAL STRATEGIES IN INSTAGRAM MENTAL HEALTH ADVOCACY CAPTIONS (2024–2025)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pPr>
        <w:spacing w:line="480" w:lineRule="auto"/>
        <w:ind w:firstLine="720"/>
        <w:jc w:val="both"/>
      </w:pPr>
      <w:r>
        <w:rPr>
          <w:rFonts w:ascii="Georgia" w:hAnsi="Georgia" w:cs="Georgia"/>
          <w:sz w:val="22"/>
          <w:szCs w:val="22"/>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pPr>
        <w:spacing w:line="480" w:lineRule="auto"/>
        <w:jc w:val="left"/>
      </w:pPr>
      <w:r>
        <w:rPr>
          <w:rFonts w:ascii="Georgia" w:hAnsi="Georgia" w:cs="Georgia"/>
          <w:sz w:val="24"/>
          <w:szCs w:val="24"/>
        </w:rPr>
        <w:t>Hope as a Distinct Construct in Digital Mental Health Discourse</w:t>
      </w:r>
    </w:p>
    <w:p>
      <w:pPr>
        <w:spacing w:line="480" w:lineRule="auto"/>
        <w:ind w:firstLine="720"/>
        <w:jc w:val="both"/>
      </w:pPr>
      <w:r>
        <w:rPr>
          <w:rFonts w:ascii="Georgia" w:hAnsi="Georgia" w:cs="Georgia"/>
          <w:sz w:val="22"/>
          <w:szCs w:val="22"/>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p>
    <w:p>
      <w:pPr>
        <w:spacing w:line="480" w:lineRule="auto"/>
        <w:ind w:firstLine="720"/>
        <w:jc w:val="both"/>
      </w:pPr>
      <w:r>
        <w:rPr>
          <w:rFonts w:ascii="Georgia" w:hAnsi="Georgia" w:cs="Georgia"/>
          <w:sz w:val="22"/>
          <w:szCs w:val="22"/>
        </w:rPr>
        <w:t>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p>
    <w:p>
      <w:pPr>
        <w:spacing w:line="480" w:lineRule="auto"/>
        <w:ind w:firstLine="720"/>
        <w:jc w:val="both"/>
      </w:pPr>
      <w:r>
        <w:rPr>
          <w:rFonts w:ascii="Georgia" w:hAnsi="Georgia" w:cs="Georgia"/>
          <w:sz w:val="22"/>
          <w:szCs w:val="22"/>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p>
    <w:p>
      <w:pPr>
        <w:spacing w:line="480" w:lineRule="auto"/>
        <w:ind w:firstLine="720"/>
        <w:jc w:val="both"/>
      </w:pPr>
      <w:r>
        <w:rPr>
          <w:rFonts w:ascii="Georgia" w:hAnsi="Georgia" w:cs="Georgia"/>
          <w:sz w:val="22"/>
          <w:szCs w:val="22"/>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p>
    <w:p>
      <w:pPr>
        <w:spacing w:line="480" w:lineRule="auto"/>
        <w:ind w:firstLine="720"/>
        <w:jc w:val="both"/>
      </w:pPr>
      <w:r>
        <w:rPr>
          <w:rFonts w:ascii="Georgia" w:hAnsi="Georgia" w:cs="Georgia"/>
          <w:sz w:val="22"/>
          <w:szCs w:val="22"/>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pPr>
        <w:spacing w:line="480" w:lineRule="auto"/>
        <w:ind w:firstLine="720"/>
        <w:jc w:val="both"/>
      </w:pPr>
      <w:r>
        <w:rPr>
          <w:rFonts w:ascii="Georgia" w:hAnsi="Georgia" w:cs="Georgia"/>
          <w:sz w:val="22"/>
          <w:szCs w:val="22"/>
        </w:rPr>
        <w:t>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p>
    <w:p>
      <w:pPr>
        <w:spacing w:line="480" w:lineRule="auto"/>
        <w:ind w:firstLine="720"/>
        <w:jc w:val="both"/>
      </w:pPr>
      <w:r>
        <w:rPr>
          <w:rFonts w:ascii="Georgia" w:hAnsi="Georgia" w:cs="Georgia"/>
          <w:sz w:val="22"/>
          <w:szCs w:val="22"/>
        </w:rPr>
        <w:t>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p>
    <w:p>
      <w:pPr>
        <w:spacing w:line="480" w:lineRule="auto"/>
        <w:ind w:firstLine="720"/>
        <w:jc w:val="both"/>
      </w:pPr>
      <w:r>
        <w:rPr>
          <w:rFonts w:ascii="Times New Roman" w:hAnsi="Times New Roman" w:cs="Georgia"/>
          <w:sz w:val="22"/>
          <w:szCs w:val="22"/>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p>
    <w:p>
      <w:pPr>
        <w:spacing w:line="480" w:lineRule="auto"/>
        <w:ind w:firstLine="720"/>
        <w:jc w:val="both"/>
      </w:pPr>
      <w:r>
        <w:rPr>
          <w:rFonts w:ascii="Times New Roman" w:hAnsi="Times New Roman" w:cs="Georgia"/>
          <w:sz w:val="22"/>
          <w:szCs w:val="22"/>
        </w:rPr>
        <w:t>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before="0" w:after="0"/>
        <w:ind w:firstLine="720"/>
        <w:jc w:val="both"/>
        <w:rPr/>
      </w:pPr>
      <w:bookmarkStart w:colFirst="0" w:colLast="0" w:name="_ee0vf2s7xxwt" w:id="0"/>
      <w:bookmarkEnd w:id="0"/>
      <w:r w:rsidDel="00000000" w:rsidR="00000000" w:rsidRPr="00000000">
        <w:rPr>
          <w:rFonts w:ascii="Times New Roman" w:cs="Georgia" w:eastAsia="Georgia" w:hAnsi="Times New Roman"/>
          <w:b w:val="0"/>
          <w:sz w:val="22"/>
          <w:szCs w:val="22"/>
          <w:rtl w:val="0"/>
        </w:rPr>
        <w:t>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Times New Roman" w:hAnsi="Times New Roman"/>
          <w:b w:val="0"/>
          <w:sz w:val="22"/>
          <w:rtl w:val="0"/>
        </w:rPr>
      </w:r>
    </w:p>
    <w:p>
      <w:pPr>
        <w:spacing w:line="480" w:lineRule="auto" w:before="240" w:after="0"/>
        <w:jc w:val="center"/>
      </w:pPr>
      <w:r>
        <w:rPr>
          <w:rFonts w:ascii="Times New Roman" w:hAnsi="Times New Roman"/>
          <w:b/>
          <w:sz w:val="22"/>
        </w:rPr>
        <w:t>Table 1</w:t>
      </w:r>
    </w:p>
    <w:p>
      <w:pPr>
        <w:spacing w:line="480" w:lineRule="auto" w:before="0" w:after="120"/>
        <w:jc w:val="center"/>
      </w:pPr>
      <w:r>
        <w:rPr>
          <w:rFonts w:ascii="Times New Roman" w:hAnsi="Times New Roman"/>
          <w:b w:val="0"/>
          <w:sz w:val="22"/>
        </w:rPr>
        <w:t>Discursive orientations for caption coding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9"/>
        <w:gridCol w:w="2769"/>
        <w:gridCol w:w="2769"/>
      </w:tblGrid>
      <w:tr>
        <w:tc>
          <w:tcPr>
            <w:tcW w:type="dxa" w:w="2769"/>
          </w:tcPr>
          <w:p>
            <w:pPr>
              <w:spacing w:before="40" w:after="40" w:line="276" w:lineRule="auto"/>
              <w:jc w:val="center"/>
            </w:pPr>
            <w:r>
              <w:rPr>
                <w:rFonts w:ascii="Times New Roman" w:hAnsi="Times New Roman"/>
                <w:b/>
                <w:sz w:val="20"/>
              </w:rPr>
            </w:r>
          </w:p>
        </w:tc>
        <w:tc>
          <w:tcPr>
            <w:tcW w:type="dxa" w:w="2769"/>
          </w:tcPr>
          <w:p>
            <w:pPr>
              <w:spacing w:before="40" w:after="40" w:line="276" w:lineRule="auto"/>
              <w:jc w:val="center"/>
            </w:pPr>
            <w:r>
              <w:rPr>
                <w:rFonts w:ascii="Times New Roman" w:hAnsi="Times New Roman"/>
                <w:b/>
                <w:sz w:val="20"/>
              </w:rPr>
              <w:t>Hope Construction</w:t>
            </w:r>
          </w:p>
        </w:tc>
        <w:tc>
          <w:tcPr>
            <w:tcW w:type="dxa" w:w="2769"/>
          </w:tcPr>
          <w:p>
            <w:pPr>
              <w:spacing w:before="40" w:after="40" w:line="276" w:lineRule="auto"/>
              <w:jc w:val="center"/>
            </w:pPr>
            <w:r>
              <w:rPr>
                <w:rFonts w:ascii="Times New Roman" w:hAnsi="Times New Roman"/>
                <w:b/>
                <w:sz w:val="20"/>
              </w:rPr>
              <w:t>Empowerment Language</w:t>
            </w:r>
          </w:p>
        </w:tc>
      </w:tr>
      <w:tr>
        <w:tc>
          <w:tcPr>
            <w:tcW w:type="dxa" w:w="2769"/>
          </w:tcPr>
          <w:p>
            <w:pPr>
              <w:spacing w:before="40" w:after="40" w:line="276" w:lineRule="auto"/>
            </w:pPr>
            <w:r>
              <w:rPr>
                <w:rFonts w:ascii="Times New Roman" w:hAnsi="Times New Roman"/>
                <w:b/>
                <w:sz w:val="20"/>
              </w:rPr>
              <w:t>Discursive focus</w:t>
            </w:r>
          </w:p>
        </w:tc>
        <w:tc>
          <w:tcPr>
            <w:tcW w:type="dxa" w:w="2769"/>
          </w:tcPr>
          <w:p>
            <w:pPr>
              <w:spacing w:before="40" w:after="40" w:line="276" w:lineRule="auto"/>
            </w:pPr>
            <w:r>
              <w:rPr>
                <w:rFonts w:ascii="Times New Roman" w:hAnsi="Times New Roman"/>
                <w:b w:val="0"/>
                <w:sz w:val="20"/>
              </w:rPr>
              <w:t>Future possibility or recovery trajectory</w:t>
            </w:r>
          </w:p>
        </w:tc>
        <w:tc>
          <w:tcPr>
            <w:tcW w:type="dxa" w:w="2769"/>
          </w:tcPr>
          <w:p>
            <w:pPr>
              <w:spacing w:before="40" w:after="40" w:line="276" w:lineRule="auto"/>
            </w:pPr>
            <w:r>
              <w:rPr>
                <w:rFonts w:ascii="Times New Roman" w:hAnsi="Times New Roman"/>
                <w:b w:val="0"/>
                <w:sz w:val="20"/>
              </w:rPr>
              <w:t>Present capacity to act or decide</w:t>
            </w:r>
          </w:p>
        </w:tc>
      </w:tr>
      <w:tr>
        <w:tc>
          <w:tcPr>
            <w:tcW w:type="dxa" w:w="2769"/>
          </w:tcPr>
          <w:p>
            <w:pPr>
              <w:spacing w:before="40" w:after="40" w:line="276" w:lineRule="auto"/>
            </w:pPr>
            <w:r>
              <w:rPr>
                <w:rFonts w:ascii="Times New Roman" w:hAnsi="Times New Roman"/>
                <w:b/>
                <w:sz w:val="20"/>
              </w:rPr>
              <w:t>Reader position</w:t>
            </w:r>
          </w:p>
        </w:tc>
        <w:tc>
          <w:tcPr>
            <w:tcW w:type="dxa" w:w="2769"/>
          </w:tcPr>
          <w:p>
            <w:pPr>
              <w:spacing w:before="40" w:after="40" w:line="276" w:lineRule="auto"/>
            </w:pPr>
            <w:r>
              <w:rPr>
                <w:rFonts w:ascii="Times New Roman" w:hAnsi="Times New Roman"/>
                <w:b w:val="0"/>
                <w:sz w:val="20"/>
              </w:rPr>
              <w:t>Someone who can look forward</w:t>
            </w:r>
          </w:p>
        </w:tc>
        <w:tc>
          <w:tcPr>
            <w:tcW w:type="dxa" w:w="2769"/>
          </w:tcPr>
          <w:p>
            <w:pPr>
              <w:spacing w:before="40" w:after="40" w:line="276" w:lineRule="auto"/>
            </w:pPr>
            <w:r>
              <w:rPr>
                <w:rFonts w:ascii="Times New Roman" w:hAnsi="Times New Roman"/>
                <w:b w:val="0"/>
                <w:sz w:val="20"/>
              </w:rPr>
              <w:t>Someone who can take charge</w:t>
            </w:r>
          </w:p>
        </w:tc>
      </w:tr>
      <w:tr>
        <w:tc>
          <w:tcPr>
            <w:tcW w:type="dxa" w:w="2769"/>
          </w:tcPr>
          <w:p>
            <w:pPr>
              <w:spacing w:before="40" w:after="40" w:line="276" w:lineRule="auto"/>
            </w:pPr>
            <w:r>
              <w:rPr>
                <w:rFonts w:ascii="Times New Roman" w:hAnsi="Times New Roman"/>
                <w:b/>
                <w:sz w:val="20"/>
              </w:rPr>
              <w:t>Basic speech act</w:t>
            </w:r>
          </w:p>
        </w:tc>
        <w:tc>
          <w:tcPr>
            <w:tcW w:type="dxa" w:w="2769"/>
          </w:tcPr>
          <w:p>
            <w:pPr>
              <w:spacing w:before="40" w:after="40" w:line="276" w:lineRule="auto"/>
            </w:pPr>
            <w:r>
              <w:rPr>
                <w:rFonts w:ascii="Times New Roman" w:hAnsi="Times New Roman"/>
                <w:b w:val="0"/>
                <w:sz w:val="20"/>
              </w:rPr>
              <w:t>Things can or will get better</w:t>
            </w:r>
          </w:p>
        </w:tc>
        <w:tc>
          <w:tcPr>
            <w:tcW w:type="dxa" w:w="2769"/>
          </w:tcPr>
          <w:p>
            <w:pPr>
              <w:spacing w:before="40" w:after="40" w:line="276" w:lineRule="auto"/>
            </w:pPr>
            <w:r>
              <w:rPr>
                <w:rFonts w:ascii="Times New Roman" w:hAnsi="Times New Roman"/>
                <w:b w:val="0"/>
                <w:sz w:val="20"/>
              </w:rPr>
              <w:t>You can or should act</w:t>
            </w:r>
          </w:p>
        </w:tc>
      </w:tr>
      <w:tr>
        <w:tc>
          <w:tcPr>
            <w:tcW w:type="dxa" w:w="2769"/>
          </w:tcPr>
          <w:p>
            <w:pPr>
              <w:spacing w:before="40" w:after="40" w:line="276" w:lineRule="auto"/>
            </w:pPr>
            <w:r>
              <w:rPr>
                <w:rFonts w:ascii="Times New Roman" w:hAnsi="Times New Roman"/>
                <w:b/>
                <w:sz w:val="20"/>
              </w:rPr>
              <w:t>Time orientation</w:t>
            </w:r>
          </w:p>
        </w:tc>
        <w:tc>
          <w:tcPr>
            <w:tcW w:type="dxa" w:w="2769"/>
          </w:tcPr>
          <w:p>
            <w:pPr>
              <w:spacing w:before="40" w:after="40" w:line="276" w:lineRule="auto"/>
            </w:pPr>
            <w:r>
              <w:rPr>
                <w:rFonts w:ascii="Times New Roman" w:hAnsi="Times New Roman"/>
                <w:b w:val="0"/>
                <w:sz w:val="20"/>
              </w:rPr>
              <w:t>Forward-looking</w:t>
            </w:r>
          </w:p>
        </w:tc>
        <w:tc>
          <w:tcPr>
            <w:tcW w:type="dxa" w:w="2769"/>
          </w:tcPr>
          <w:p>
            <w:pPr>
              <w:spacing w:before="40" w:after="40" w:line="276" w:lineRule="auto"/>
            </w:pPr>
            <w:r>
              <w:rPr>
                <w:rFonts w:ascii="Times New Roman" w:hAnsi="Times New Roman"/>
                <w:b w:val="0"/>
                <w:sz w:val="20"/>
              </w:rPr>
              <w:t>Present-oriented agency</w:t>
            </w:r>
          </w:p>
        </w:tc>
      </w:tr>
    </w:tbl>
    <w:p>
      <w:pPr>
        <w:spacing w:line="480" w:lineRule="auto" w:before="0" w:after="0"/>
        <w:ind w:firstLine="720"/>
        <w:jc w:val="both"/>
      </w:pPr>
      <w:r>
        <w:rPr>
          <w:rFonts w:ascii="Times New Roman" w:hAnsi="Times New Roman"/>
          <w:b w:val="0"/>
          <w:sz w:val="22"/>
        </w:rPr>
        <w:t>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before="0" w:after="0"/>
        <w:ind w:firstLine="720"/>
        <w:jc w:val="both"/>
        <w:rPr/>
      </w:pPr>
      <w:r w:rsidDel="00000000" w:rsidR="00000000" w:rsidRPr="00000000">
        <w:rPr>
          <w:rFonts w:ascii="Times New Roman" w:cs="Georgia" w:eastAsia="Georgia" w:hAnsi="Times New Roman"/>
          <w:b w:val="0"/>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rFonts w:ascii="Times New Roman" w:hAnsi="Times New Roman"/>
          <w:b w:val="0"/>
          <w:sz w:val="22"/>
          <w:szCs w:val="22"/>
          <w:rtl w:val="0"/>
        </w:rPr>
        <w:t xml:space="preserve">,</w:t>
      </w:r>
      <w:r w:rsidDel="00000000" w:rsidR="00000000" w:rsidRPr="00000000">
        <w:rPr>
          <w:rFonts w:ascii="Times New Roman" w:cs="Georgia" w:eastAsia="Georgia" w:hAnsi="Times New Roman"/>
          <w:b w:val="0"/>
          <w:sz w:val="22"/>
          <w:szCs w:val="22"/>
          <w:rtl w:val="0"/>
        </w:rPr>
        <w:t xml:space="preserve"> operationalized through empathy markers, validation language, encouragement phrases, and second-person affirmation</w:t>
      </w:r>
      <w:r w:rsidDel="00000000" w:rsidR="00000000" w:rsidRPr="00000000">
        <w:rPr>
          <w:rFonts w:ascii="Times New Roman" w:hAnsi="Times New Roman"/>
          <w:b w:val="0"/>
          <w:sz w:val="22"/>
          <w:szCs w:val="22"/>
          <w:rtl w:val="0"/>
        </w:rPr>
        <w:t xml:space="preserve">,</w:t>
      </w:r>
      <w:r w:rsidDel="00000000" w:rsidR="00000000" w:rsidRPr="00000000">
        <w:rPr>
          <w:rFonts w:ascii="Times New Roman" w:cs="Georgia" w:eastAsia="Georgia" w:hAnsi="Times New Roman"/>
          <w:b w:val="0"/>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Fonts w:ascii="Times New Roman" w:hAnsi="Times New Roman"/>
          <w:b w:val="0"/>
          <w:sz w:val="22"/>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Times New Roman" w:cs="Georgia" w:eastAsia="Georgia" w:hAnsi="Times New Roman"/>
          <w:b w:val="0"/>
          <w:sz w:val="22"/>
          <w:szCs w:val="22"/>
          <w:rtl w:val="0"/>
        </w:rPr>
        <w:t>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eligible top-level comments are selected per post by maximum variation on response type.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Times New Roman" w:cs="Georgia" w:eastAsia="Georgia" w:hAnsi="Times New Roman"/>
          <w:sz w:val="22"/>
          <w:szCs w:val="22"/>
          <w:rtl w:val="0"/>
        </w:rPr>
        <w:t>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Each caption must contain a minimum of 30 English words. Posts must also show at least 100 likes and 20 visible comments. For each post, two eligible top-level comments are selected by maximum variation on response type when both types are present among eligible comments.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Times New Roman" w:cs="Georgia" w:eastAsia="Georgia" w:hAnsi="Times New Roman"/>
          <w:sz w:val="22"/>
          <w:szCs w:val="22"/>
          <w:rtl w:val="0"/>
        </w:rPr>
        <w:t>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eligible top-level comments per post. Nested replies are excluded.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Hope Construction. 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Empowerment Language. 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Times New Roman" w:cs="Georgia" w:eastAsia="Georgia" w:hAnsi="Times New Roman"/>
          <w:b w:val="0"/>
          <w:bCs w:val="1"/>
          <w:sz w:val="22"/>
          <w:szCs w:val="22"/>
          <w:rtl w:val="0"/>
        </w:rPr>
        <w:t>Function-Driven Coding. 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Eligible Top-Level Comment. A comment written directly under the post (not a nested reply to another comment) that meets the study's eligibility filter: English language, sufficient continuous text for linguistic analysis (at least ten words or one analysable clause), and not limited to pure emoji, single-word reactions, tags, or links. From the eligible set, two comments per post are selected by maximum variation on response type when both types are present.</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Contemporary Corpus. A purposive sample of Instagram posts published from September 2024 through December 2025, with preference for 2025, analyzed as a single dataset of contemporary mental health advocacy discourse on the platform. Years are not compared.</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1. Corpus Screening. 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caption of at least 30 words,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Times New Roman" w:cs="Georgia" w:eastAsia="Georgia" w:hAnsi="Times New Roman"/>
          <w:b w:val="0"/>
          <w:bCs w:val="1"/>
          <w:sz w:val="22"/>
          <w:szCs w:val="22"/>
          <w:rtl w:val="0"/>
        </w:rPr>
        <w:t>3. Caption Coding. 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4. Comment Extraction and Coding. For each retained post, top-level comments in the public chronological display are screened for eligibility. A comment is eligible only if it is written in English, contains sufficient continuous text for linguistic analysis (at least ten words or one analysable clause), and is not limited to pure emoji, single-word reactions, tags, or links. Nested replies to other comments are excluded. From the eligible set, two comments are selected by maximum variation on response type: one that leans toward supportive lexicon (encouragement, validation, or empathy without personal disclosure) and one that leans toward personal narrative framing (first-person experience related to the caption theme), when both kinds are present. When only one kind appears, the two clearest eligible examples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Times New Roman" w:cs="Georgia" w:eastAsia="Georgia" w:hAnsi="Times New Roman"/>
          <w:sz w:val="22"/>
          <w:szCs w:val="22"/>
          <w:rtl w:val="0"/>
        </w:rPr>
        <w:t>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caption contains a minimum of 30 English words, (3) content clearly addresses mental health awareness, support, coping, recovery, or advocacy, (4) caption is fully visible without platform truncation, and (5) the post shows at least 100 likes and 20 visible comments. For each retained post, two eligible top-level comments are selected by maximum variation on response type when both supportive-lexicon and personal-narrative orientations are present among eligible comments. Eligibility requires English language and sufficient continuous text for linguistic analysis. Nested replies are excluded. Total visible comment count is logged per post. All data are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before="0" w:after="0"/>
        <w:ind w:firstLine="720"/>
        <w:jc w:val="both"/>
        <w:rPr/>
      </w:pPr>
      <w:r w:rsidDel="00000000" w:rsidR="00000000" w:rsidRPr="00000000">
        <w:rPr>
          <w:rFonts w:ascii="Times New Roman" w:cs="Georgia" w:eastAsia="Georgia" w:hAnsi="Times New Roman"/>
          <w:b w:val="0"/>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Times New Roman" w:cs="Georgia" w:eastAsia="Georgia" w:hAnsi="Times New Roman"/>
          <w:b w:val="0"/>
          <w:i w:val="1"/>
          <w:iCs w:val="1"/>
          <w:sz w:val="22"/>
          <w:szCs w:val="22"/>
          <w:rtl w:val="0"/>
        </w:rPr>
        <w:t xml:space="preserve">Journal of the American Society for Information Science and Technology, 60</w:t>
      </w:r>
      <w:r w:rsidDel="00000000" w:rsidR="00000000" w:rsidRPr="00000000">
        <w:rPr>
          <w:rFonts w:ascii="Times New Roman" w:cs="Georgia" w:eastAsia="Georgia" w:hAnsi="Times New Roman"/>
          <w:b w:val="0"/>
          <w:sz w:val="22"/>
          <w:szCs w:val="22"/>
          <w:rtl w:val="0"/>
        </w:rPr>
        <w:t xml:space="preserve">(7), 1504–1517. https://doi.org/10.1002/asi.21070</w:t>
      </w:r>
      <w:r w:rsidDel="00000000" w:rsidR="00000000" w:rsidRPr="00000000">
        <w:rPr>
          <w:rFonts w:ascii="Times New Roman" w:hAnsi="Times New Roman"/>
          <w:b w:val="0"/>
          <w:sz w:val="22"/>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pPr>
        <w:spacing w:line="480" w:lineRule="auto"/>
        <w:ind w:left="720" w:hanging="720"/>
        <w:jc w:val="both"/>
      </w:pPr>
      <w:r>
        <w:rPr>
          <w:rFonts w:ascii="Georgia" w:hAnsi="Georgia" w:cs="Georgia"/>
          <w:sz w:val="22"/>
          <w:szCs w:val="22"/>
        </w:rPr>
        <w:t xml:space="preserve">McCosker, A., &amp; Gerrard, Y. (2021). Hashtagging depression on Instagram: Towards a more inclusive mental health research methodology. New Media &amp; Society, 23(7), 1899–1919. https://doi.org/10.1177/1461444820921349</w:t>
      </w:r>
    </w:p>
    <w:p>
      <w:pPr>
        <w:spacing w:line="480" w:lineRule="auto"/>
        <w:ind w:left="720" w:hanging="720"/>
        <w:jc w:val="both"/>
      </w:pPr>
      <w:r>
        <w:rPr>
          <w:rFonts w:ascii="Georgia" w:hAnsi="Georgia" w:cs="Georgia"/>
          <w:sz w:val="22"/>
          <w:szCs w:val="22"/>
        </w:rPr>
        <w:t xml:space="preserve">Lindgren, S., &amp; Johansson, A. (2023). Getting better? Hegemonic, negotiated and oppositional uses of Instagram for mental health support. Journal of Communication Inquiry, 47(3), 268–290. https://doi.org/10.1177/01968599211042581</w:t>
      </w:r>
    </w:p>
    <w:p>
      <w:pPr>
        <w:spacing w:line="480" w:lineRule="auto"/>
        <w:ind w:left="720" w:hanging="720"/>
        <w:jc w:val="both"/>
      </w:pPr>
      <w:r>
        <w:rPr>
          <w:rFonts w:ascii="Georgia" w:hAnsi="Georgia" w:cs="Georgia"/>
          <w:sz w:val="22"/>
          <w:szCs w:val="22"/>
        </w:rPr>
        <w:t xml:space="preserve">Beelen, E., &amp; Karsay, K. (2024). “The future is bright! Is it?”: Investigating effects of hopeful mental health content and endorsement cues on social media. Social Media + Society, 10(3), 1–18. https://doi.org/10.1177/20563051241277603</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Layout w:type="fixed"/>
        <w:tblLook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pPr>
              <w:spacing w:before="40" w:after="40" w:line="276" w:lineRule="auto"/>
            </w:pPr>
            <w:r>
              <w:rPr>
                <w:rFonts w:ascii="Times New Roman" w:hAnsi="Times New Roman"/>
                <w:b w:val="0"/>
                <w:sz w:val="18"/>
              </w:rPr>
              <w:t>Modality: can, will, may, could. Temporal: soon, eventually, step by step. Recovery nouns: healing, growth, recovery. Adverbs: possibly, hopefully. Conditionals: if you keep going...</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pPr>
              <w:spacing w:before="40" w:after="40"/>
            </w:pPr>
            <w:r/>
            <w:r>
              <w:rPr>
                <w:rFonts w:ascii="Times New Roman" w:hAnsi="Times New Roman"/>
                <w:sz w:val="18"/>
              </w:rPr>
              <w:t>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line="276" w:lineRule="auto"/>
            </w:pPr>
            <w:r>
              <w:rPr>
                <w:rFonts w:ascii="Times New Roman" w:hAnsi="Times New Roman"/>
                <w:b w:val="0"/>
                <w:sz w:val="18"/>
              </w:rPr>
              <w:t>Directives: seek, set, prioritize, take. Self-care: boundaries, rest, check in. Agency: you can decide, trust yourself. Autonomy: at your own pace, when ready. Action phrases: small wins, your journey</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pPr>
            <w:r/>
            <w:r>
              <w:rPr>
                <w:rFonts w:ascii="Times New Roman" w:hAnsi="Times New Roman"/>
                <w:sz w:val="18"/>
              </w:rPr>
              <w:t>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
        <w:rPr>
          <w:rFonts w:ascii="Times New Roman" w:hAnsi="Times New Roman"/>
          <w:b w:val="0"/>
          <w:sz w:val="20"/>
        </w:rPr>
        <w:t>Decision procedure (two-stage Identify and Sort). The markers in Table A1 are illustrative signals, not an exhaustive inventory. Coding proceeds in two stages. Stage 1 — Identify. For each caption, mark hope construction and empowerment language as present or absent on the basis of the illustrative signals. Stage 2 —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Layout w:type="fixed"/>
        <w:tblLook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line="276" w:lineRule="auto"/>
            </w:pPr>
            <w:r>
              <w:rPr>
                <w:rFonts w:ascii="Times New Roman" w:hAnsi="Times New Roman"/>
                <w:b w:val="0"/>
                <w:sz w:val="18"/>
              </w:rPr>
              <w:t>First-person: I felt, I went through, I struggled. Temporal: last year, during my..., when I was... Disclosure: it helped me, my journey... Connection: this resonates, I relate, same here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