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Instagram has emerged as a significant platform for public mental health communication, with dedicated advocacy pages producing high-volume, high-engagement content that consistently employs positive linguistic framing (Wu &amp; Hong, 2022; Koinig, 2022). Research confirms that mental health-related posts on Instagram are predominantly oriented toward encouragement, recovery, and community support, and that such content attracts substantial audience interaction (Naslund et al., 2020; Wu &amp; Hong, 2022). These captions operate as concise discursive units in which lexical choices, modality, and directive structures converge to produce specific social meanings in a digitally mediated public space. Despite this documented prevalence, the specific lexical and grammatical mechanisms through which such short-form texts construct hope and empowerment remain underexamined within the applied linguistics and discourse analysis literature.</w:t>
      </w:r>
      <w:r w:rsidDel="00000000" w:rsidR="00000000" w:rsidRPr="00000000">
        <w:rPr>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 xml:space="preserve">This study addresses that gap by examining how mental health captions on Instagram use lexical and grammatical choices to construct two discursive orientations: hope construction and empowerment language; by identifying the linguistic features that characterize public comment responses to those captions; and by describing what these two levels of analysis, taken together, reveal about the collective construction of positive mental health discourse in digital advocacy spaces. The analysis is grounded in Positive Discourse Analysis (Martin, 2004) and draws on an adapted version of Chang's (2009) online support typology. Rather than assuming that positive framing in Instagram captions is inherently beneficial, the study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 xml:space="preserve">This study is grounded in Positive Discourse Analysis (PDA), a framework developed by Martin (2004) within Systemic Functional Linguistics (SFL). Unlike critical discourse approaches that foreground power asymmetries, inequality, or problematization, PDA examines how language resources construct solidarity, hope, agency, and constructive social action. Martin (2004) demonstrates that specific linguistic choices, including forward-looking modality, inclusive pronouns, and action-oriented verbs, actively build positive social meanings. PDA has since been applied to institutional, educational, and digital texts to trace how language fosters resilience and collective support (see Macgilchrist, 2007; Bartesaghi &amp; Castor, 2008).</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 xml:space="preserve">For this study, PDA provides a structured linguistic framework to identify how mental health captions encode optimism (hope construction) and agency (empowerment language) through specific grammatical and lexical patterns. The framework is particularly suited to short-form digital texts because it prioritizes discursive function over isolated keywords, allowing for context-sensitive coding of meaning-making strategies.</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 xml:space="preserve">However, this study does not adopt PDA uncritically. Several scholars have noted that an exclusive focus on "positive" discourse risks naturalizing particular framings without interrogating whose positivity is centered or whose experiences are marginalized (Bartesaghi &amp; Castor, 2008; Macgilchrist, 2007). In the specific context of Instagram mental health content, this concern is substantive: empirical and critical media studies have documented that social media wellness discourse can reproduce toxic positivity, commodify recovery language, and sideline clinical or diagnostic complexity (Naslund et al., 2020; Yao &amp; Zhong, 2014). This study applies PDA instrumentally as an analytical instrument to identify and categorize linguistic strategies, while acknowledging that “positive” framing is itself a constructed, selective discourse practice.</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 xml:space="preserve">To analyze how audiences linguistically respond to these PDA-consistent caption strategies, this study integrates Chang’s (2009) online support typology as a complementary analytical instrument. Chang (2009) identified four functional categories of supportive language in computer-mediated communication — informational, emotional, esteem, and network support — originally applied to a Taiwanese text-based psychosis peer support group. The present study adapts this typology for the Instagram advocacy context, collapsing emotional and esteem support into a unified “supportive lexicon” category and operationalizing network support as “personal narrative framing,” given the distinct interactional norms of public social media comment sections. Pairing PDA with Chang’s (2009) adapted typology allows the study to move beyond caption-level analysis and examine whether particular caption strategies co-occur with particular comment response types, making the analytical framework responsive to both production and reception dimensions of digital mental health discourse.</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 xml:space="preserve">Empirical research on digital mental health discourse confirms that Instagram content is predominantly positive in orientation and is designed to elicit supportive interaction. Wu and Hong (2022) analyzed 7,078 posts tagged #mentalhealth and found that among posts containing human faces (n=1,472), 77.6% expressed positive caption sentiment; comment sections were dominated by supportive lexical items. They also found that when captions and images shared the same emotional tone, readers were more likely to leave positive comments, a finding that foregrounds caption-comment alignment as an empirically observable phenomenon worth investigating linguistically.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Koinig (2022) surveyed 532 active Instagram users and reported that motivational quotes received higher engagement than other content formats. Koteyko and Atanasova (2018), examining mental health advocacy tweets during Depression Awareness Week, showed how users and organisations deploy positioning strategies and multimodal resources to invite empathy, validate experience, and construct collective support. These studies establish that Instagram and related platforms intentionally use positive framing, but they stop short of categorizing the specific lexical and grammatical strategies through a PDA lens, or mapping how comment language structurally aligns with caption strategies.</w:t>
      </w:r>
      <w:r w:rsidDel="00000000" w:rsidR="00000000" w:rsidRPr="00000000">
        <w:rPr>
          <w:rtl w:val="0"/>
        </w:rPr>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sz w:val="22"/>
          <w:szCs w:val="22"/>
          <w:rtl w:val="0"/>
        </w:rPr>
        <w:t xml:space="preserve">Audience responses to mental health content follow recognizable linguistic patterns. Chang (2009), analyzing communication within an online psychosis support group, identified four primary support types: informational support, emotional support, esteem support, and network support. Subsequent digital discourse studies have found that comment sections often mirror the discursive stance of the original post, with emotional and network support dominating wellness communities (Naslund et al., 2020).</w:t>
      </w:r>
      <w:r w:rsidDel="00000000" w:rsidR="00000000" w:rsidRPr="00000000">
        <w:rPr>
          <w:rtl w:val="0"/>
        </w:rPr>
      </w:r>
    </w:p>
    <w:p w:rsidR="00000000" w:rsidDel="00000000" w:rsidP="00000000" w:rsidRDefault="00000000" w:rsidRPr="00000000" w14:paraId="00000028">
      <w:pPr>
        <w:spacing w:line="480" w:lineRule="auto"/>
        <w:rPr/>
      </w:pPr>
      <w:r w:rsidDel="00000000" w:rsidR="00000000" w:rsidRPr="00000000">
        <w:rPr>
          <w:rtl w:val="0"/>
        </w:rPr>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sz w:val="22"/>
          <w:szCs w:val="22"/>
          <w:rtl w:val="0"/>
        </w:rPr>
        <w:t xml:space="preserve">However, most existing analyses treat comments as sentiment data or engagement metrics rather than as structured linguistic responses. This study addresses that gap by applying a focused adaptation of Chang’s (2009) typology: emotional and esteem support are collapsed into a single “supportive lexicon” category, and network support is operationalized as “personal narrative framing.” Informational support is excluded from primary analysis as it is markedly less prevalent in advocacy page comment sections. Identifying the linguistic features of these comment responses is thus central to the second research question and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rsidR="00000000" w:rsidDel="00000000" w:rsidP="00000000" w:rsidRDefault="00000000" w:rsidRPr="00000000" w14:paraId="0000002B">
      <w:pPr>
        <w:spacing w:line="480" w:lineRule="auto"/>
        <w:ind w:firstLine="720"/>
        <w:jc w:val="both"/>
        <w:rPr/>
      </w:pPr>
      <w:r w:rsidDel="00000000" w:rsidR="00000000" w:rsidRPr="00000000">
        <w:rPr>
          <w:rFonts w:ascii="Georgia" w:cs="Georgia" w:eastAsia="Georgia" w:hAnsi="Georgia"/>
          <w:sz w:val="22"/>
          <w:szCs w:val="22"/>
          <w:rtl w:val="0"/>
        </w:rPr>
        <w:t>Despite the growing volume of mental health content on Instagram, few studies apply a discourse-analytic lens to categorize the specific lexical and grammatical strategies used in captions, and fewer still examine how comment language structurally aligns with those strategies. While Koteyko and Atanasova (2018) demonstrate the value of discourse-analytic approaches for analyzing mental health advocacy on social media, their focus on Twitter positioning and multimodal interaction differs from this study's specific focus on hope and empowerment construction within Instagram captions.</w:t>
      </w:r>
      <w:r w:rsidDel="00000000" w:rsidR="00000000" w:rsidRPr="00000000">
        <w:rPr>
          <w:rtl w:val="0"/>
        </w:rPr>
      </w:r>
    </w:p>
    <w:p w:rsidR="00000000" w:rsidDel="00000000" w:rsidP="00000000" w:rsidRDefault="00000000" w:rsidRPr="00000000" w14:paraId="0000002C">
      <w:pPr>
        <w:spacing w:line="480" w:lineRule="auto"/>
        <w:rPr/>
      </w:pPr>
      <w:r w:rsidDel="00000000" w:rsidR="00000000" w:rsidRPr="00000000">
        <w:rPr>
          <w:rtl w:val="0"/>
        </w:rPr>
      </w:r>
    </w:p>
    <w:p w:rsidR="00000000" w:rsidDel="00000000" w:rsidP="00000000" w:rsidRDefault="00000000" w:rsidRPr="00000000" w14:paraId="0000002D">
      <w:pPr>
        <w:spacing w:line="480" w:lineRule="auto"/>
        <w:ind w:firstLine="720"/>
        <w:jc w:val="both"/>
        <w:rPr/>
      </w:pPr>
      <w:r w:rsidDel="00000000" w:rsidR="00000000" w:rsidRPr="00000000">
        <w:rPr>
          <w:rFonts w:ascii="Georgia" w:cs="Georgia" w:eastAsia="Georgia" w:hAnsi="Georgia"/>
          <w:sz w:val="22"/>
          <w:szCs w:val="22"/>
          <w:rtl w:val="0"/>
        </w:rPr>
        <w:t xml:space="preserve">The 2023–2025 data window captures the post-pandemic normalization of mental health communication on social media. Years are pooled for corpus diversity; no cross-year trend comparison is performed. This design maintains analytical depth while remaining feasible for undergraduate qualitative research.</w:t>
      </w:r>
      <w:r w:rsidDel="00000000" w:rsidR="00000000" w:rsidRPr="00000000">
        <w:rPr>
          <w:rtl w:val="0"/>
        </w:rPr>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 xml:space="preserve">Naslund, J. A., Aschbrenner, K. A., Marsch, L. A., &amp; Bartels, S. J. (2020). The future of mental health care: Peer-to-peer support and social media. </w:t>
      </w:r>
      <w:r w:rsidDel="00000000" w:rsidR="00000000" w:rsidRPr="00000000">
        <w:rPr>
          <w:rFonts w:ascii="Georgia" w:cs="Georgia" w:eastAsia="Georgia" w:hAnsi="Georgia"/>
          <w:i w:val="1"/>
          <w:iCs w:val="1"/>
          <w:sz w:val="22"/>
          <w:szCs w:val="22"/>
          <w:rtl w:val="0"/>
        </w:rPr>
        <w:t xml:space="preserve">Epidemiology and Psychiatric Sciences, 25</w:t>
      </w:r>
      <w:r w:rsidDel="00000000" w:rsidR="00000000" w:rsidRPr="00000000">
        <w:rPr>
          <w:rFonts w:ascii="Georgia" w:cs="Georgia" w:eastAsia="Georgia" w:hAnsi="Georgia"/>
          <w:sz w:val="22"/>
          <w:szCs w:val="22"/>
          <w:rtl w:val="0"/>
        </w:rPr>
        <w:t xml:space="preserve">(2), 113–122. https://doi.org/10.1017/S2045796015001067</w:t>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