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9">
      <w:pPr>
        <w:spacing w:after="0" w:before="240" w:line="480" w:lineRule="auto"/>
        <w:ind w:left="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val="0"/>
          <w:i w:val="0"/>
          <w:sz w:val="22"/>
        </w:rPr>
        <w:t xml:space="preserve">Contemporary Corpus. </w:t>
      </w:r>
      <w:r>
        <w:rPr>
          <w:rFonts w:ascii="Georgia" w:hAnsi="Georgia" w:eastAsia="Georgia" w:cs="Georgia"/>
          <w:b w:val="0"/>
          <w:i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val="0"/>
          <w:i w:val="0"/>
          <w:sz w:val="22"/>
        </w:rPr>
        <w:t>4. Comment Extraction and Coding. 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r>
        <w:rPr>
          <w:rFonts w:ascii="Georgia" w:hAnsi="Georgia" w:eastAsia="Georgia" w:cs="Georgia"/>
          <w:b w:val="0"/>
          <w:i w:val="0"/>
          <w:sz w:val="22"/>
        </w:rPr>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left"/>
      </w:pPr>
      <w:r>
        <w:rPr>
          <w:rFonts w:ascii="Georgia" w:hAnsi="Georgia" w:eastAsia="Georgia" w:cs="Georgia"/>
          <w:b/>
          <w:i w:val="0"/>
          <w:sz w:val="28"/>
          <w:szCs w:val="28"/>
        </w:rPr>
        <w:t xml:space="preserve">RESULTS, ANALYSIS, AND DISCUSSION</w:t>
      </w:r>
    </w:p>
    <w:p>
      <w:pPr>
        <w:ind w:firstLine="72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firstLine="720"/>
        <w:spacing w:line="480" w:lineRule="auto" w:before="0" w:after="0"/>
        <w:jc w:val="both"/>
      </w:pPr>
      <w:r>
        <w:rPr>
          <w:rFonts w:ascii="Georgia" w:hAnsi="Georgia" w:eastAsia="Georgia" w:cs="Georgia"/>
          <w:b w:val="0"/>
          <w:i w:val="0"/>
          <w:sz w:val="22"/>
          <w:szCs w:val="22"/>
        </w:rPr>
        <w:t>Most captions in the corpus positioned the reader as able to act in the present and were coded EMPOWERMENT. A smaller set oriented the reader toward a recovery or growth trajectory and was coded HOPE. A few captions carried both orientations at comparable strength and were coded BOTH. Table 2 summarizes those dominant orientations. The distribution is a map of discursive focus, not a ranking of value.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That division is consistent with observational work on Instagram mental health content that finds motivational and action-oriented formats highly visible (Koinig, 2022; Wu &amp; Hong, 2022), and with Positive Discourse Analysis interest in how language builds agency and solidarity rather than only documenting deficit (Martin, 2004).</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Dominant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What it privileges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speech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capacity to act or decide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or should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 possibility or recovery trajectory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Things can or will get better</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Act now and recovery remains open</w:t>
            </w:r>
          </w:p>
        </w:tc>
      </w:tr>
    </w:tbl>
    <w:p>
      <w:pPr>
        <w:ind w:firstLine="720"/>
        <w:spacing w:line="480" w:lineRule="auto" w:before="240" w:after="0"/>
        <w:jc w:val="both"/>
      </w:pPr>
      <w:r>
        <w:rPr>
          <w:rFonts w:ascii="Georgia" w:hAnsi="Georgia" w:eastAsia="Georgia" w:cs="Georgia"/>
          <w:b w:val="0"/>
          <w:i w:val="0"/>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and vulnerability as legitimate action. When a caption says it is okay to ask for help, the clause does interpersonal work. It treats a presumed prohibition as the problem and cancels it in public language. Imperatives such as take the first step or prioritize your peace assign agency to the reader in the present tense. Collective pronouns such as we have to or none of us have to take that on alone shift the participant structure from isolated self-management to shared advocacy stance. Myth-busting frames that name and correct misconceptions about illness, strength, or treatment remove discursive barriers before the directive lands. In Positive Discourse Analysis terms, the caption constructs the reader as a capable actor and constructs the community as one that backs that capacity (Martin, 2004).</w:t>
      </w:r>
    </w:p>
    <w:p>
      <w:pPr>
        <w:spacing w:line="480" w:lineRule="auto" w:before="0" w:after="0"/>
        <w:ind w:firstLine="720"/>
        <w:jc w:val="both"/>
      </w:pPr>
      <w:r>
        <w:rPr>
          <w:rFonts w:ascii="Georgia" w:hAnsi="Georgia" w:eastAsia="Georgia" w:cs="Georgia"/>
          <w:sz w:val="22"/>
          <w:szCs w:val="22"/>
        </w:rPr>
        <w:t xml:space="preserve">The grammar of empowerment in this corpus is therefore not only motivational tone. It is a pattern of mood, person, and evaluation. Second-person address keeps the reader in the clause. Bare or lightly modalized imperatives keep the time of action near. Evaluative statements about what is okay or not required rework social norms that would otherwise block the recommended move. Those resources fit Instagram’s short caption space. They pack stance and action into a few lines that remain readable before the more cut-off.</w:t>
      </w:r>
    </w:p>
    <w:p>
      <w:pPr>
        <w:spacing w:line="480" w:lineRule="auto" w:before="0" w:after="0"/>
        <w:ind w:firstLine="72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720"/>
        <w:jc w:val="both"/>
      </w:pPr>
      <w:r>
        <w:rPr>
          <w:rFonts w:ascii="Georgia" w:hAnsi="Georgia" w:eastAsia="Georgia" w:cs="Georgia"/>
          <w:b w:val="0"/>
          <w:i w:val="0"/>
          <w:sz w:val="22"/>
          <w:szCs w:val="22"/>
        </w:rPr>
        <w:t>Grammatically, hope captions relied less on bare imperatives and more on declarative reassurances and predictive clauses. Incremental progress lexis such as small steps and little victories scales recovery into units a reader can inhabit when a full turnaround feels unavailable. Future-oriented modality such as can and will projects possibility without stating certainty as fact. Life-worth declarations affirm value in contexts where that value is contested by crisis language. Temporal framing such as step by step or seasonal metaphors stretches the event line so that the present episode is not the whole narrative. Hope construction in these captions is therefore a package of time, modality, and evaluation rather than a single keyword of positivity.</w:t>
      </w:r>
    </w:p>
    <w:p>
      <w:pPr>
        <w:spacing w:line="480" w:lineRule="auto" w:before="0" w:after="0"/>
        <w:ind w:firstLine="720"/>
        <w:jc w:val="both"/>
      </w:pPr>
      <w:r>
        <w:rPr>
          <w:rFonts w:ascii="Georgia" w:hAnsi="Georgia" w:eastAsia="Georgia" w:cs="Georgia"/>
          <w:sz w:val="22"/>
          <w:szCs w:val="22"/>
        </w:rPr>
        <w:t xml:space="preserve">That package matters for the study’s larger claim. Hope here is not the absence of struggle. Several hope captions named risk, exhaustion, or imperfect days before the projective clause arrived. The linguistic sequence often moves from problem to trajectory. The second move does not delete the first. It repositions it inside a longer time frame. Beelen and Karsay (2024) found that exposure to hopeful Instagram messages alone did not reliably raise hope in experimental conditions. The present analysis does not test effect. It shows how hope is built in the text when advocacy pages attempt that construction under platform constraints.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ind w:firstLine="720"/>
        <w:spacing w:line="480" w:lineRule="auto" w:before="0" w:after="0"/>
        <w:jc w:val="both"/>
      </w:pPr>
      <w:r>
        <w:rPr>
          <w:rFonts w:ascii="Georgia" w:hAnsi="Georgia" w:eastAsia="Georgia" w:cs="Georgia"/>
          <w:b w:val="0"/>
          <w:i w:val="0"/>
          <w:sz w:val="22"/>
          <w:szCs w:val="22"/>
        </w:rPr>
        <w:t>A small number of captions were coded BOTH because hope and empowerment signals carried comparable weight. One paired an imperative to seek support with a predictive clause about recovery. Another authorized rest in the present while naming growth over time. In those texts neither orientation could be demoted without losing the caption’s main communicative load. Blended captions show that the two orientations are analytically distinct but not mutually exclusive in practice. Writers can instruct present action and project a recoverable future in the same short post. The coding scheme records that coexistence rather than forcing a false choice.</w:t>
      </w:r>
    </w:p>
    <w:p>
      <w:pPr>
        <w:spacing w:line="480" w:lineRule="auto" w:before="240" w:after="0"/>
        <w:ind w:firstLine="0"/>
        <w:jc w:val="left"/>
      </w:pPr>
      <w:r>
        <w:rPr>
          <w:rFonts w:ascii="Georgia" w:hAnsi="Georgia" w:eastAsia="Georgia" w:cs="Georgia"/>
          <w:b w:val="0"/>
          <w:i/>
          <w:sz w:val="24"/>
          <w:szCs w:val="24"/>
        </w:rPr>
        <w:t xml:space="preserve">Blended captions</w:t>
      </w:r>
    </w:p>
    <w:p>
      <w:pPr>
        <w:ind w:firstLine="720"/>
        <w:spacing w:line="480" w:lineRule="auto" w:before="0" w:after="0"/>
        <w:jc w:val="both"/>
      </w:pPr>
      <w:r>
        <w:rPr>
          <w:rFonts w:ascii="Georgia" w:hAnsi="Georgia" w:eastAsia="Georgia" w:cs="Georgia"/>
          <w:b w:val="0"/>
          <w:i w:val="0"/>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firstLine="720"/>
        <w:spacing w:line="480" w:lineRule="auto" w:before="0" w:after="0"/>
        <w:jc w:val="both"/>
      </w:pPr>
      <w:r>
        <w:rPr>
          <w:rFonts w:ascii="Georgia" w:hAnsi="Georgia" w:eastAsia="Georgia" w:cs="Georgia"/>
          <w:b w:val="0"/>
          <w:i w:val="0"/>
          <w:sz w:val="22"/>
          <w:szCs w:val="22"/>
        </w:rPr>
        <w:t>Supportive lexicon was the more common response type among eligible comments. Personal narrative framing appeared less often but remained a clear secondary pattern. Table 5 summarizes the two types and their main linguistic markers. The preference for supportive lexicon is consistent with Chang (2009), who found emotional and esteem support central in online peer support interaction, and with Kim et al. (2023), who show that supporters often work to validate and encourage rather than only to inform. On Instagram, that preference is reinforced by the interface. Short replies, emoji-supported affirmation, and second-person address fit the feed’s pace, while extended first-person narrative requires more sustained attention from both writer and reader.</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phrases; validation; praise; short affective forms (you are so loved; pls stay with us)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the caption stance; offers encouragement without a personal story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(I felt; I went through); diagnosis or crisis naming; recovery timeline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public thread; realizes network support</w:t>
            </w:r>
          </w:p>
        </w:tc>
      </w:tr>
    </w:tbl>
    <w:p>
      <w:pPr>
        <w:ind w:firstLine="720"/>
        <w:spacing w:line="480" w:lineRule="auto" w:before="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empowerment captions they restated agency and permission. Commenters wrote that it is okay to ask for help, that readers do not have to stay silent, or that taking a first step matters. Those replies recycle the caption’s permission statements and directives into second-person encouragement, so the thread becomes a public ratification of the authorized action. Under hope captions, supportive replies more often echoed trajectory and endurance language. Commenters affirmed that the reader can get through the moment, that small steps count, or that the life named in the caption is worth protecting. In both cases the comment stays close to the caption’s orientation. It does not typically introduce a competing frame. The linguistic work is alignment: shared modality, shared evaluation, and short clauses that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such as I felt, I went through, or I still struggle. They often reported a concrete episode of distress, help-seeking, or partial recovery, then linked that episode back to the caption’s theme. Grammatically, the narrative comment shifts the participant roles. The caption addresses a generalized you. The narrative reply reintroduces an I who claims lived authority. That shift is important for Positive Discourse Analysis. Solidarity is not only produced by cheering from outside the experience. It is also produced when someone places their own history beside the caption’s claim and makes the advocacy space hold more than one voice.</w:t>
      </w:r>
    </w:p>
    <w:p>
      <w:pPr>
        <w:ind w:firstLine="72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jc w:val="left"/>
      </w:pPr>
      <w:r>
        <w:rPr>
          <w:rFonts w:ascii="Georgia" w:hAnsi="Georgia" w:eastAsia="Georgia" w:cs="Georgia"/>
          <w:sz w:val="28"/>
          <w:szCs w:val="28"/>
          <w:b/>
        </w:rPr>
        <w:t xml:space="preserve">CONCLUSIONS AND RECOMMENDATIONS</w:t>
      </w:r>
    </w:p>
    <w:p>
      <w:pPr>
        <w:spacing w:line="480" w:lineRule="auto" w:before="0" w:after="0"/>
        <w:ind w:firstLine="720"/>
        <w:jc w:val="both"/>
      </w:pPr>
      <w:r>
        <w:rPr>
          <w:rFonts w:ascii="Georgia" w:hAnsi="Georgia" w:eastAsia="Georgia" w:cs="Georgia"/>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jc w:val="left"/>
      </w:pPr>
      <w:r>
        <w:rPr>
          <w:rFonts w:ascii="Georgia" w:hAnsi="Georgia" w:eastAsia="Georgia" w:cs="Georgia"/>
          <w:sz w:val="24"/>
          <w:szCs w:val="24"/>
          <w:i/>
        </w:rPr>
        <w:t xml:space="preserve">Conclusions</w:t>
      </w:r>
    </w:p>
    <w:p>
      <w:pPr>
        <w:spacing w:line="480" w:lineRule="auto" w:before="0" w:after="0"/>
        <w:ind w:firstLine="720"/>
        <w:jc w:val="both"/>
      </w:pPr>
      <w:r>
        <w:rPr>
          <w:rFonts w:ascii="Georgia" w:hAnsi="Georgia" w:eastAsia="Georgia" w:cs="Georgia"/>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jc w:val="both"/>
      </w:pPr>
      <w:r>
        <w:rPr>
          <w:rFonts w:ascii="Georgia" w:hAnsi="Georgia" w:eastAsia="Georgia" w:cs="Georgia"/>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jc w:val="both"/>
      </w:pPr>
      <w:r>
        <w:rPr>
          <w:rFonts w:ascii="Georgia" w:hAnsi="Georgia" w:eastAsia="Georgia" w:cs="Georgia"/>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jc w:val="both"/>
      </w:pPr>
      <w:r>
        <w:rPr>
          <w:rFonts w:ascii="Georgia" w:hAnsi="Georgia" w:eastAsia="Georgia" w:cs="Georgia"/>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jc w:val="left"/>
      </w:pPr>
      <w:r>
        <w:rPr>
          <w:rFonts w:ascii="Georgia" w:hAnsi="Georgia" w:eastAsia="Georgia" w:cs="Georgia"/>
          <w:sz w:val="24"/>
          <w:szCs w:val="24"/>
          <w:i/>
        </w:rPr>
        <w:t xml:space="preserve">Recommendations</w:t>
      </w:r>
    </w:p>
    <w:p>
      <w:pPr>
        <w:spacing w:line="480" w:lineRule="auto" w:before="0" w:after="0"/>
        <w:ind w:firstLine="720"/>
        <w:jc w:val="both"/>
      </w:pPr>
      <w:r>
        <w:rPr>
          <w:rFonts w:ascii="Georgia" w:hAnsi="Georgia" w:eastAsia="Georgia" w:cs="Georgia"/>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firstLine="720"/>
        <w:jc w:val="both"/>
      </w:pPr>
      <w:r>
        <w:rPr>
          <w:rFonts w:ascii="Georgia" w:hAnsi="Georgia" w:eastAsia="Georgia" w:cs="Georgia"/>
          <w:sz w:val="22"/>
          <w:szCs w:val="22"/>
        </w:rPr>
        <w:t xml:space="preserve">Writers and editors of public mental health content may treat the marker inventories in Appendices A and B as a descriptive map of resources already in use rather than as a template for production. Attention to permission statements, collective pronouns, and incremental progress lexis may help keep advocacy language from collapsing into empty positivity, provided the surrounding text still names difficulty where difficulty is present.</w:t>
      </w:r>
    </w:p>
    <w:p>
      <w:pPr>
        <w:spacing w:line="480" w:lineRule="auto" w:before="0" w:after="0"/>
        <w:ind w:firstLine="720"/>
        <w:jc w:val="both"/>
      </w:pPr>
      <w:r>
        <w:rPr>
          <w:rFonts w:ascii="Georgia" w:hAnsi="Georgia" w:eastAsia="Georgia" w:cs="Georgia"/>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jc w:val="both"/>
      </w:pPr>
      <w:r>
        <w:rPr>
          <w:rFonts w:ascii="Georgia" w:hAnsi="Georgia" w:eastAsia="Georgia" w:cs="Georgia"/>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left"/>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