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Georgia" w:cs="Georgia" w:eastAsia="Georgia" w:hAnsi="Georgia"/>
          <w:b w:val="1"/>
          <w:bCs w:val="1"/>
          <w:sz w:val="28"/>
          <w:szCs w:val="28"/>
          <w:rtl w:val="0"/>
        </w:rPr>
        <w:t xml:space="preserve">CONSTRUCTING HOPE AND EMPOWERMENT: LEXICAL AND GRAMMATICAL STRATEGIES IN INSTAGRAM MENTAL HEALTH ADVOCACY CAPTIONS (2023–2025)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ind w:firstLine="720"/>
        <w:jc w:val="both"/>
      </w:pPr>
      <w:r>
        <w:rPr>
          <w:rFonts w:ascii="Georgia" w:hAnsi="Georgia" w:cs="Georgia"/>
          <w:sz w:val="22"/>
          <w:szCs w:val="22"/>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pPr>
        <w:spacing w:line="480" w:lineRule="auto"/>
        <w:ind w:firstLine="720"/>
        <w:jc w:val="both"/>
      </w:pPr>
      <w:r>
        <w:rPr>
          <w:rFonts w:ascii="Georgia" w:hAnsi="Georgia" w:cs="Georgia"/>
          <w:sz w:val="22"/>
          <w:szCs w:val="22"/>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Georgia" w:hAnsi="Georgia"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single 2023–2025 corpus of public Instagram mental health advocacy posts.</w:t>
      </w:r>
    </w:p>
    <w:p>
      <w:pPr>
        <w:spacing w:line="480" w:lineRule="auto"/>
        <w:ind w:firstLine="720"/>
        <w:jc w:val="both"/>
      </w:pPr>
      <w:r>
        <w:rPr>
          <w:rFonts w:ascii="Georgia" w:hAnsi="Georgia" w:cs="Georgia"/>
          <w:sz w:val="22"/>
          <w:szCs w:val="22"/>
        </w:rPr>
        <w:t>The 2023–2025 data window captures the post-pandemic normalization of mental health communication on social media. Years are pooled for corpus diversity. This design keeps analytical depth feasible for undergraduate qualitative research while situating the corpus in a period when mental health talk on Instagram had become both more visible and more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ind w:firstLine="720"/>
        <w:jc w:val="both"/>
        <w:rPr/>
      </w:pPr>
      <w:bookmarkStart w:colFirst="0" w:colLast="0" w:name="_ee0vf2s7xxwt" w:id="0"/>
      <w:bookmarkEnd w:id="0"/>
      <w:r w:rsidDel="00000000" w:rsidR="00000000" w:rsidRPr="00000000">
        <w:rPr>
          <w:rFonts w:ascii="Times New Roman" w:cs="Georgia" w:eastAsia="Georgia" w:hAnsi="Times New Roman"/>
          <w:sz w:val="22"/>
          <w:szCs w:val="22"/>
          <w:rtl w:val="0"/>
        </w:rPr>
        <w:t>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tl w:val="0"/>
        </w:rPr>
      </w:r>
    </w:p>
    <w:p>
      <w:r>
        <w:rPr>
          <w:rFonts w:ascii="Times New Roman" w:hAnsi="Times New Roman"/>
          <w:sz w:val="22"/>
        </w:rPr>
        <w:t>Table 1. Discursive orientations for caption coding</w:t>
      </w:r>
    </w:p>
    <w:tbl>
      <w:tblPr>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r>
          </w:p>
        </w:tc>
        <w:tc>
          <w:tcPr>
            <w:tcW w:type="dxa" w:w="2769"/>
          </w:tcPr>
          <w:p>
            <w:r>
              <w:rPr>
                <w:rFonts w:ascii="Times New Roman" w:hAnsi="Times New Roman"/>
                <w:b/>
                <w:sz w:val="20"/>
              </w:rPr>
              <w:t>Hope Construction</w:t>
            </w:r>
          </w:p>
        </w:tc>
        <w:tc>
          <w:tcPr>
            <w:tcW w:type="dxa" w:w="2769"/>
          </w:tcPr>
          <w:p>
            <w:r>
              <w:rPr>
                <w:rFonts w:ascii="Times New Roman" w:hAnsi="Times New Roman"/>
                <w:b/>
                <w:sz w:val="20"/>
              </w:rPr>
              <w:t>Empowerment Language</w:t>
            </w:r>
          </w:p>
        </w:tc>
      </w:tr>
      <w:tr>
        <w:tc>
          <w:tcPr>
            <w:tcW w:type="dxa" w:w="2769"/>
          </w:tcPr>
          <w:p>
            <w:r>
              <w:rPr>
                <w:rFonts w:ascii="Times New Roman" w:hAnsi="Times New Roman"/>
                <w:b/>
                <w:sz w:val="20"/>
              </w:rPr>
              <w:t>Discursive focus</w:t>
            </w:r>
          </w:p>
        </w:tc>
        <w:tc>
          <w:tcPr>
            <w:tcW w:type="dxa" w:w="2769"/>
          </w:tcPr>
          <w:p>
            <w:r>
              <w:rPr>
                <w:rFonts w:ascii="Times New Roman" w:hAnsi="Times New Roman"/>
                <w:sz w:val="20"/>
              </w:rPr>
              <w:t>Future possibility or recovery trajectory</w:t>
            </w:r>
          </w:p>
        </w:tc>
        <w:tc>
          <w:tcPr>
            <w:tcW w:type="dxa" w:w="2769"/>
          </w:tcPr>
          <w:p>
            <w:r>
              <w:rPr>
                <w:rFonts w:ascii="Times New Roman" w:hAnsi="Times New Roman"/>
                <w:sz w:val="20"/>
              </w:rPr>
              <w:t>Present capacity to act or decide</w:t>
            </w:r>
          </w:p>
        </w:tc>
      </w:tr>
      <w:tr>
        <w:tc>
          <w:tcPr>
            <w:tcW w:type="dxa" w:w="2769"/>
          </w:tcPr>
          <w:p>
            <w:r>
              <w:rPr>
                <w:rFonts w:ascii="Times New Roman" w:hAnsi="Times New Roman"/>
                <w:b/>
                <w:sz w:val="20"/>
              </w:rPr>
              <w:t>Reader position</w:t>
            </w:r>
          </w:p>
        </w:tc>
        <w:tc>
          <w:tcPr>
            <w:tcW w:type="dxa" w:w="2769"/>
          </w:tcPr>
          <w:p>
            <w:r>
              <w:rPr>
                <w:rFonts w:ascii="Times New Roman" w:hAnsi="Times New Roman"/>
                <w:sz w:val="20"/>
              </w:rPr>
              <w:t>Someone who can look forward</w:t>
            </w:r>
          </w:p>
        </w:tc>
        <w:tc>
          <w:tcPr>
            <w:tcW w:type="dxa" w:w="2769"/>
          </w:tcPr>
          <w:p>
            <w:r>
              <w:rPr>
                <w:rFonts w:ascii="Times New Roman" w:hAnsi="Times New Roman"/>
                <w:sz w:val="20"/>
              </w:rPr>
              <w:t>Someone who can take charge</w:t>
            </w:r>
          </w:p>
        </w:tc>
      </w:tr>
      <w:tr>
        <w:tc>
          <w:tcPr>
            <w:tcW w:type="dxa" w:w="2769"/>
          </w:tcPr>
          <w:p>
            <w:r>
              <w:rPr>
                <w:rFonts w:ascii="Times New Roman" w:hAnsi="Times New Roman"/>
                <w:b/>
                <w:sz w:val="20"/>
              </w:rPr>
              <w:t>Basic speech act</w:t>
            </w:r>
          </w:p>
        </w:tc>
        <w:tc>
          <w:tcPr>
            <w:tcW w:type="dxa" w:w="2769"/>
          </w:tcPr>
          <w:p>
            <w:r>
              <w:rPr>
                <w:rFonts w:ascii="Times New Roman" w:hAnsi="Times New Roman"/>
                <w:sz w:val="20"/>
              </w:rPr>
              <w:t>Things can or will get better</w:t>
            </w:r>
          </w:p>
        </w:tc>
        <w:tc>
          <w:tcPr>
            <w:tcW w:type="dxa" w:w="2769"/>
          </w:tcPr>
          <w:p>
            <w:r>
              <w:rPr>
                <w:rFonts w:ascii="Times New Roman" w:hAnsi="Times New Roman"/>
                <w:sz w:val="20"/>
              </w:rPr>
              <w:t>You can or should act</w:t>
            </w:r>
          </w:p>
        </w:tc>
      </w:tr>
      <w:tr>
        <w:tc>
          <w:tcPr>
            <w:tcW w:type="dxa" w:w="2769"/>
          </w:tcPr>
          <w:p>
            <w:r>
              <w:rPr>
                <w:rFonts w:ascii="Times New Roman" w:hAnsi="Times New Roman"/>
                <w:b/>
                <w:sz w:val="20"/>
              </w:rPr>
              <w:t>Time orientation</w:t>
            </w:r>
          </w:p>
        </w:tc>
        <w:tc>
          <w:tcPr>
            <w:tcW w:type="dxa" w:w="2769"/>
          </w:tcPr>
          <w:p>
            <w:r>
              <w:rPr>
                <w:rFonts w:ascii="Times New Roman" w:hAnsi="Times New Roman"/>
                <w:sz w:val="20"/>
              </w:rPr>
              <w:t>Forward-looking</w:t>
            </w:r>
          </w:p>
        </w:tc>
        <w:tc>
          <w:tcPr>
            <w:tcW w:type="dxa" w:w="2769"/>
          </w:tcPr>
          <w:p>
            <w:r>
              <w:rPr>
                <w:rFonts w:ascii="Times New Roman" w:hAnsi="Times New Roman"/>
                <w:sz w:val="20"/>
              </w:rPr>
              <w:t>Present-oriented agency</w:t>
            </w:r>
          </w:p>
        </w:tc>
      </w:tr>
    </w:tbl>
    <w:p>
      <w:r>
        <w:rPr>
          <w:rFonts w:ascii="Times New Roman" w:hAnsi="Times New Roman"/>
          <w:sz w:val="22"/>
        </w:rPr>
        <w:t>Coding is guided by derivative questions rather than by an exhaustive inventory of keywords. For each caption the researcher asks: (1) What is this caption mainly trying to do for the reader's stance toward mental health. Project a positive future possibility, or position the reader as someone who can act? (2) Does the strongest grammatical force look forward (modality of possibility, temporal progression, recovery nouns) or look at the reader's capacity to act (directives, autonomy markers, boundary language)? (3) When both orientations are present, which one occupies the main clause or the final prominent position, and which speech act ("Things can or will get better" versus "You can or should act") carries the main force of the text? (4) If the two checks disagree, or if features are roughly equal and neither is prominent, or if neither orientation performs the main communicative work, the caption is coded as blended or indeterminate and logged separately. Illustrative linguistic signals for each orientation appear in Appendix A. Feature tallies are still recorded for distributional description, but each caption receives only one dominant code. This function-driven procedure is consistent with PDA's emphasis on discursive purpose over keyword frequency and is suited to short-form digital texts where meaning is densely packed within limited word counts.</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ind w:firstLine="720"/>
        <w:jc w:val="both"/>
        <w:rPr/>
      </w:pPr>
      <w:r w:rsidDel="00000000" w:rsidR="00000000" w:rsidRPr="00000000">
        <w:rPr>
          <w:rFonts w:ascii="Georgia" w:cs="Georgia" w:eastAsia="Georgia" w:hAnsi="Georgia"/>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operationalized through empathy markers, validation language, encouragement phrases, and second-person affirmation</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Times New Roman" w:cs="Georgia" w:eastAsia="Georgia" w:hAnsi="Times New Roman"/>
          <w:sz w:val="22"/>
          <w:szCs w:val="22"/>
          <w:rtl w:val="0"/>
        </w:rPr>
        <w:t>The IPO structure organizes the three phases of analysis. In the Input phase, a corpus of a maximum of 30 publicly accessible English-language captions is assembled from Instagram mental health advocacy pages published between 2023 and 2025, each paired with two algorithmically surfaced comments. In the Process phase, Phase 1 applies the derivative-question procedure under PDA to assign each caption a dominant orientation (HOPE, EMPOWERMENT, or blended) and to tally illustrative linguistic signals. Phase 2 applies the adapted Chang (2009) typology to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Georgia" w:cs="Georgia" w:eastAsia="Georgia" w:hAnsi="Georgia"/>
          <w:sz w:val="22"/>
          <w:szCs w:val="22"/>
          <w:rtl w:val="0"/>
        </w:rPr>
        <w:t xml:space="preserve">This study is limited to a corpus of a maximum of 30 English-language Instagram captions drawn from publicly accessible mental health advocacy pages published between 2023 and 2025. The corpus ceiling of 30 posts is a total figure across all sampled pages and years, not a per-year quota; posts from 2023, 2024, and 2025 are pooled to ensure corpus diversity without introducing cross-year comparative claims. Each caption must contain a minimum of 30 English words to provide sufficient lexical material for meaningful PDA coding. Posts must also demonstrate observable public engagement, defined as at least 100 likes and 20 visible comments, ensuring that selected texts represent high-visibility advocacy discourse. The two algorithmically surfaced comments per post are included as the comment data. Analysis of both captions and comments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Georgia" w:cs="Georgia" w:eastAsia="Georgia" w:hAnsi="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comment data carries an inherent sampling limitation, as the two extracted comments per post are ranked by Instagram’s internal algorithm rather than selected by the researcher; these are treated throughout as “algorithmically surfaced samples” rather than representative audience responses. The engagement-threshold criterion — at least 100 likes and 20 comments — further restricts the corpus to high-engagement content, which may skew toward algorithmically favored post types and is not representative of lower-visibility mental health discourse.</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Hope Construction. 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Empowerment Language. 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Function-Driven Coding. A qualitative analytical approach that categorizes linguistic features based on their discursive purpose in context, not mechanical keyword matching. Coding is guided by a short set of derivative questions (see Appendix A) that force a judgment of primary orientation. When overlapping features appear, dominance is adjudicated by syntactic weight and speech-act weight. Cases in which the checks disagree, or in which neither orientation clearly performs the main work, are coded as blended or 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Algorithmically Surfaced Comment. </w:t>
      </w:r>
      <w:r w:rsidDel="00000000" w:rsidR="00000000" w:rsidRPr="00000000">
        <w:rPr>
          <w:rFonts w:ascii="Georgia" w:cs="Georgia" w:eastAsia="Georgia" w:hAnsi="Georgia"/>
          <w:sz w:val="22"/>
          <w:szCs w:val="22"/>
          <w:rtl w:val="0"/>
        </w:rPr>
        <w:t xml:space="preserve">A comment rendered visible by Instagram's ranking algorithm rather than by random or researcher-controlled selection. Used in this study to acknowledge that the platform mediates which responses become visible in the comment display.</w:t>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Contemporary Corpus. </w:t>
      </w:r>
      <w:r w:rsidDel="00000000" w:rsidR="00000000" w:rsidRPr="00000000">
        <w:rPr>
          <w:rFonts w:ascii="Georgia" w:cs="Georgia" w:eastAsia="Georgia" w:hAnsi="Georgia"/>
          <w:sz w:val="22"/>
          <w:szCs w:val="22"/>
          <w:rtl w:val="0"/>
        </w:rPr>
        <w:t xml:space="preserve">A pooled sample of Instagram posts published between 2023 and 2025, analyzed as a single dataset capturing the post-pandemic normalization of mental health communication on social media.</w:t>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1. Corpus Screening. </w:t>
      </w:r>
      <w:r w:rsidDel="00000000" w:rsidR="00000000" w:rsidRPr="00000000">
        <w:rPr>
          <w:rFonts w:ascii="Georgia" w:cs="Georgia" w:eastAsia="Georgia" w:hAnsi="Georgia"/>
          <w:sz w:val="22"/>
          <w:szCs w:val="22"/>
          <w:rtl w:val="0"/>
        </w:rPr>
        <w:t xml:space="preserve">Public mental health advocacy pages are identified through Instagram’s search function using hashtags and keywords associated with mental health advocacy (e.g., #mentalhealthawareness, #mentalhealthadvocacy, #mentalhealthmatters). Eligible pages must meet three criteria: (a) the account biography or page description explicitly identifies mental health as its primary focus; (b) the majority of posts address mental health awareness, coping, recovery, or peer support rather than general wellness, fitness, or lifestyle content; and (c) the account is publicly accessible and not affiliated with a commercial product or service as its primary function. Pages that only occasionally post mental health content within broader lifestyle or fitness feeds are excluded. Posts are then filtered for publication year (2023–2025), language (English), caption length (≥30 words), and engagement metrics (≥100 likes, ≥20 comments).</w:t>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3. Caption Coding. </w:t>
      </w:r>
      <w:r w:rsidDel="00000000" w:rsidR="00000000" w:rsidRPr="00000000">
        <w:rPr>
          <w:rFonts w:ascii="Georgia" w:cs="Georgia" w:eastAsia="Georgia" w:hAnsi="Georgia"/>
          <w:sz w:val="22"/>
          <w:szCs w:val="22"/>
          <w:rtl w:val="0"/>
        </w:rPr>
        <w:t xml:space="preserve">Each caption is read holistically. Linguistic features matching Appendix A markers are identified and tallied by feature type within each caption. The dominant discursive function is coded as HOPE or EMPOWERMENT based on syntactic prominence and primary communicative intent. Overlapping features are noted but not double-coded for the dominant function determination.</w:t>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4. Comment Extraction and Coding. </w:t>
      </w:r>
      <w:r w:rsidDel="00000000" w:rsidR="00000000" w:rsidRPr="00000000">
        <w:rPr>
          <w:rFonts w:ascii="Georgia" w:cs="Georgia" w:eastAsia="Georgia" w:hAnsi="Georgia"/>
          <w:sz w:val="22"/>
          <w:szCs w:val="22"/>
          <w:rtl w:val="0"/>
        </w:rPr>
        <w:t xml:space="preserve">The top two algorithmically surfaced visible comments per post are extracted. Total visible comment count for each post is logged. Each comment is coded as SUPPORTIVE LEXICON or PERSONAL NARRATIVE by dominant communicative purpose. Unclassifiable rates will be reported; if they exceed 20% of the sample, coding markers will be refined with adviser consultation. Should ambiguity persist after refinement, items that cannot be assigned a dominant communicative function will be classified as a third descriptive category (“blended/indeterminate”) and reported separately rather than forced into primary categories, preserving the integrity of the co-occurrence analysis.</w:t>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Georgia" w:cs="Georgia" w:eastAsia="Georgia" w:hAnsi="Georgia"/>
          <w:sz w:val="22"/>
          <w:szCs w:val="22"/>
          <w:rtl w:val="0"/>
        </w:rPr>
        <w:t>The corpus consists of a maximum of 30 Instagram captions in total — not 30 per year — sourced from publicly accessible, English-language mental health advocacy pages published between 2023 and 2025. Posts from across this three-year window are pooled into a single dataset; no cross-year comparison is performed. Corpus construction follows a stratified purposive sampling strategy (Patton, 2002). Stratification is applied by account, with each qualifying page contributing approximately three to five posts to prevent any single account from dominating the corpus and to ensure representativeness across different advocacy page styles and audiences. Within each stratum, posts are purposively selected based on the following criteria: (1) published between 2023 and 2025; (2) caption contains a minimum of 30 English words, ensuring sufficient lexical material for PDA coding; (3) content clearly addresses mental health awareness, support, coping, or advocacy; (4) caption is fully visible without platform truncation; and (5) the post demonstrates observable public engagement, defined as at least 100 likes and 20 visible comments. Stratified purposive sampling is appropriate because it combines the intentional, criteria-based logic of purposive sampling — selecting texts that are analytically relevant rather than statistically random — with a stratification structure that controls for account-level influence, ensuring the corpus reflects a range of advocacy voices rather than a single page’s discourse patterns (Patton, 2002). The top two algorithmically surfaced visible comments per post are extracted for linguistic coding. Total visible comment count is logged per post. All data is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ind w:left="720" w:hanging="720"/>
        <w:jc w:val="both"/>
        <w:rPr/>
      </w:pPr>
      <w:r w:rsidDel="00000000" w:rsidR="00000000" w:rsidRPr="00000000">
        <w:rPr>
          <w:rFonts w:ascii="Georgia" w:cs="Georgia" w:eastAsia="Georgia" w:hAnsi="Georgia"/>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Georgia" w:cs="Georgia" w:eastAsia="Georgia" w:hAnsi="Georgia"/>
          <w:i w:val="1"/>
          <w:iCs w:val="1"/>
          <w:sz w:val="22"/>
          <w:szCs w:val="22"/>
          <w:rtl w:val="0"/>
        </w:rPr>
        <w:t xml:space="preserve">Journal of the American Society for Information Science and Technology, 60</w:t>
      </w:r>
      <w:r w:rsidDel="00000000" w:rsidR="00000000" w:rsidRPr="00000000">
        <w:rPr>
          <w:rFonts w:ascii="Georgia" w:cs="Georgia" w:eastAsia="Georgia" w:hAnsi="Georgia"/>
          <w:sz w:val="22"/>
          <w:szCs w:val="22"/>
          <w:rtl w:val="0"/>
        </w:rPr>
        <w:t xml:space="preserve">(7), 1504–1517. https://doi.org/10.1002/asi.21070</w:t>
      </w: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1">
            <w:pPr>
              <w:spacing w:after="0" w:before="0" w:lineRule="auto"/>
              <w:jc w:val="left"/>
              <w:rPr/>
            </w:pPr>
            <w:r w:rsidDel="00000000" w:rsidR="00000000" w:rsidRPr="00000000">
              <w:rPr>
                <w:rFonts w:ascii="Georgia" w:cs="Georgia" w:eastAsia="Georgia" w:hAnsi="Georgia"/>
                <w:sz w:val="18"/>
                <w:szCs w:val="18"/>
                <w:rtl w:val="0"/>
              </w:rPr>
              <w:t xml:space="preserve">Modality: can, will, may, couldTemporal: soon, eventually, step by stepRecovery nouns: healing, growth, recoveryAdverbs: possibly, hopefullyConditionals: if you keep going...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
              <w:rPr>
                <w:rFonts w:ascii="Times New Roman" w:hAnsi="Times New Roman"/>
                <w:sz w:val="18"/>
              </w:rPr>
              <w:t>Code as HOPE when the derivative questions (see Decision procedure below) show that the dominant function projects optimism or future possibility about mental health. Record feature types and counts for distributional analysis. Code dominant function only. Example: "Healing is not linear, but you will get there. Recovery takes time, and every small step forward matters." (forward-looking modality: will; recovery nouns: healing, recovery; temporal: takes time)</w:t>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4">
            <w:pPr>
              <w:spacing w:after="0" w:before="0" w:lineRule="auto"/>
              <w:jc w:val="left"/>
              <w:rPr/>
            </w:pPr>
            <w:r w:rsidDel="00000000" w:rsidR="00000000" w:rsidRPr="00000000">
              <w:rPr>
                <w:rFonts w:ascii="Georgia" w:cs="Georgia" w:eastAsia="Georgia" w:hAnsi="Georgia"/>
                <w:sz w:val="18"/>
                <w:szCs w:val="18"/>
                <w:rtl w:val="0"/>
              </w:rPr>
              <w:t xml:space="preserve">Directives: seek, set, prioritize, takeSelf-care: boundaries, rest, check inAgency: you can decide, trust yourselfAutonomy: at your own pace, when readyAction phrases: small wins, your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
              <w:rPr>
                <w:rFonts w:ascii="Times New Roman" w:hAnsi="Times New Roman"/>
                <w:sz w:val="18"/>
              </w:rPr>
              <w:t>Code as EMPOWERMENT when the derivative questions show that the dominant function encourages proactive agency or autonomous action. Record feature types and counts. Code dominant function only. Example: "Set boundaries that protect your peace. You can decide what serves your mental health and what doesn't." (directive: set; agency: you can decide; self-care: boundaries; autonomy: what serves your mental health)</w:t>
            </w:r>
          </w:p>
        </w:tc>
      </w:tr>
    </w:tbl>
    <w:p>
      <w:r>
        <w:rPr>
          <w:rFonts w:ascii="Times New Roman" w:hAnsi="Times New Roman"/>
          <w:sz w:val="20"/>
        </w:rPr>
        <w:t>Decision procedure (derivative questions). The markers in Table A1 are illustrative signals, not an exhaustive inventory. Coding is guided by the following questions applied to each caption as a whole. (1) Primary orientation: What is this caption mainly trying to do for the reader's stance toward mental health? Project a positive future possibility or recovery trajectory (leans HOPE), or position the reader as someone who can act, decide, or set terms (leans EMPOWERMENT)? (2) Future versus agency check: Does the strongest grammatical force look forward (modality of possibility, temporal progression, recovery nouns) or look at the reader's capacity to act (directives, autonomy markers, boundary language)? (3) Dominance adjudication when both orientations appear: Which orientation occupies the main clause(s) or the final prominent position (syntactic weight)? If the caption is reduced to one speech act, is it closer to "Things can or will get better" (HOPE) or "You can or should act" (EMPOWERMENT) (speech-act weight)? The orientation that wins both checks, or clearly wins one while the other is only peripheral, becomes the dominant code. If the two checks disagree, move to question 4. (4) Blended or indeterminate: Code and justify as blended when the two checks disagree, when features are roughly equal and neither is prominent, or when neither orientation is performing the main communicative work of the caption. Blended cases are logged separately and excluded from the main HOPE versus EMPOWERMENT distribution.</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Georgia" w:cs="Georgia" w:eastAsia="Georgia" w:hAnsi="Georgia"/>
                <w:sz w:val="18"/>
                <w:szCs w:val="18"/>
                <w:rtl w:val="0"/>
              </w:rPr>
              <w:t xml:space="preserve">First-person: I felt, I went through, I struggledTemporal: last year, during my..., when I was...Disclosure: it helped me, my journey...Connection: this resonates, I relate, same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