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cs="Georgia"/>
          <w:sz w:val="22"/>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pPr>
        <w:spacing w:line="480" w:lineRule="auto"/>
        <w:jc w:val="left"/>
      </w:pPr>
      <w:r>
        <w:rPr>
          <w:rFonts w:ascii="Georgia" w:hAnsi="Georgia" w:cs="Georgia"/>
          <w:sz w:val="24"/>
          <w:szCs w:val="24"/>
        </w:rPr>
        <w:t>Hope as a Distinct Construct in Digital Mental Health Discourse</w:t>
      </w:r>
    </w:p>
    <w:p>
      <w:pPr>
        <w:spacing w:line="480" w:lineRule="auto"/>
        <w:ind w:firstLine="720"/>
        <w:jc w:val="both"/>
      </w:pPr>
      <w:r>
        <w:rPr>
          <w:rFonts w:ascii="Georgia" w:hAnsi="Georgia" w:cs="Georgia"/>
          <w:sz w:val="22"/>
          <w:szCs w:val="22"/>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p>
    <w:p>
      <w:pPr>
        <w:spacing w:line="480" w:lineRule="auto"/>
        <w:ind w:firstLine="720"/>
        <w:jc w:val="both"/>
      </w:pPr>
      <w:r>
        <w:rPr>
          <w:rFonts w:ascii="Georgia" w:hAnsi="Georgia" w:cs="Georgia"/>
          <w:sz w:val="22"/>
          <w:szCs w:val="22"/>
        </w:rPr>
        <w:t>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p>
    <w:p>
      <w:pPr>
        <w:spacing w:line="480" w:lineRule="auto"/>
        <w:ind w:firstLine="720"/>
        <w:jc w:val="both"/>
      </w:pPr>
      <w:r>
        <w:rPr>
          <w:rFonts w:ascii="Georgia" w:hAnsi="Georgia" w:cs="Georgia"/>
          <w:sz w:val="22"/>
          <w:szCs w:val="22"/>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p>
    <w:p>
      <w:pPr>
        <w:spacing w:line="480" w:lineRule="auto"/>
        <w:ind w:firstLine="720"/>
        <w:jc w:val="both"/>
      </w:pPr>
      <w:r>
        <w:rPr>
          <w:rFonts w:ascii="Georgia" w:hAnsi="Georgia" w:cs="Georgia"/>
          <w:sz w:val="22"/>
          <w:szCs w:val="22"/>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jc w:val="both"/>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jc w:val="both"/>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jc w:val="both"/>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pPr>
        <w:spacing w:line="480" w:lineRule="auto"/>
        <w:ind w:firstLine="720"/>
        <w:jc w:val="both"/>
      </w:pPr>
      <w:r>
        <w:rPr>
          <w:rFonts w:ascii="Georgia" w:hAnsi="Georgia" w:cs="Georgia"/>
          <w:sz w:val="22"/>
          <w:szCs w:val="22"/>
        </w:rPr>
        <w:t>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p>
    <w:p>
      <w:pPr>
        <w:spacing w:line="480" w:lineRule="auto"/>
        <w:ind w:firstLine="720"/>
        <w:jc w:val="both"/>
      </w:pPr>
      <w:r>
        <w:rPr>
          <w:rFonts w:ascii="Georgia" w:hAnsi="Georgia" w:cs="Georgia"/>
          <w:sz w:val="22"/>
          <w:szCs w:val="22"/>
        </w:rPr>
        <w:t>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p>
    <w:p>
      <w:pPr>
        <w:spacing w:line="480" w:lineRule="auto"/>
        <w:ind w:firstLine="720"/>
        <w:jc w:val="both"/>
      </w:pPr>
      <w:r>
        <w:rPr>
          <w:rFonts w:ascii="Georgia" w:hAnsi="Georgia" w:cs="Georgia"/>
          <w:sz w:val="22"/>
          <w:szCs w:val="22"/>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single 2023–2025 corpus of public Instagram mental health advocacy posts.</w:t>
      </w:r>
    </w:p>
    <w:p>
      <w:pPr>
        <w:spacing w:line="480" w:lineRule="auto"/>
        <w:ind w:firstLine="720"/>
        <w:jc w:val="both"/>
      </w:pPr>
      <w:r>
        <w:rPr>
          <w:rFonts w:ascii="Georgia" w:hAnsi="Georgia" w:cs="Georgia"/>
          <w:sz w:val="22"/>
          <w:szCs w:val="22"/>
        </w:rPr>
        <w:t>The 2023–2025 data window captures the post-pandemic normalization of mental health communication on social media. Years are pooled for corpus diversity. No cross-year trend comparison is performed. This design keeps analytical depth feasible for undergraduate qualitative research while situating the corpus in a period when mental health talk on Instagram had become both more visible and more conventionalized.</w:t>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pPr>
        <w:spacing w:line="480" w:lineRule="auto"/>
        <w:ind w:left="720" w:hanging="720"/>
        <w:jc w:val="both"/>
      </w:pPr>
      <w:r>
        <w:rPr>
          <w:rFonts w:ascii="Georgia" w:hAnsi="Georgia" w:cs="Georgia"/>
          <w:sz w:val="22"/>
          <w:szCs w:val="22"/>
        </w:rPr>
        <w:t xml:space="preserve">McCosker, A., &amp; Gerrard, Y. (2021). Hashtagging depression on Instagram: Towards a more inclusive mental health research methodology. New Media &amp; Society, 23(7), 1899–1919. https://doi.org/10.1177/1461444820921349</w:t>
      </w:r>
    </w:p>
    <w:p>
      <w:pPr>
        <w:spacing w:line="480" w:lineRule="auto"/>
        <w:ind w:left="720" w:hanging="720"/>
        <w:jc w:val="both"/>
      </w:pPr>
      <w:r>
        <w:rPr>
          <w:rFonts w:ascii="Georgia" w:hAnsi="Georgia" w:cs="Georgia"/>
          <w:sz w:val="22"/>
          <w:szCs w:val="22"/>
        </w:rPr>
        <w:t xml:space="preserve">Lindgren, S., &amp; Johansson, A. (2023). Getting better? Hegemonic, negotiated and oppositional uses of Instagram for mental health support. Journal of Communication Inquiry, 47(3), 268–290. https://doi.org/10.1177/01968599211042581</w:t>
      </w:r>
    </w:p>
    <w:p>
      <w:pPr>
        <w:spacing w:line="480" w:lineRule="auto"/>
        <w:ind w:left="720" w:hanging="720"/>
        <w:jc w:val="both"/>
      </w:pPr>
      <w:r>
        <w:rPr>
          <w:rFonts w:ascii="Georgia" w:hAnsi="Georgia" w:cs="Georgia"/>
          <w:sz w:val="22"/>
          <w:szCs w:val="22"/>
        </w:rPr>
        <w:t xml:space="preserve">Beelen, E., &amp; Karsay, K. (2024). “The future is bright! Is it?”: Investigating effects of hopeful mental health content and endorsement cues on social media. Social Media + Society, 10(3), 1–18. https://doi.org/10.1177/20563051241277603</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