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Times New Roman" w:cs="Georgia" w:eastAsia="Georgia" w:hAnsi="Times New Roman"/>
          <w:b w:val="1"/>
          <w:bCs w:val="1"/>
          <w:sz w:val="22"/>
          <w:szCs w:val="28"/>
          <w:rtl w:val="0"/>
        </w:rPr>
        <w:t>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ind w:firstLine="720"/>
        <w:jc w:val="both"/>
      </w:pPr>
      <w:r>
        <w:rPr>
          <w:rFonts w:ascii="Georgia" w:hAnsi="Georgia" w:cs="Georgia"/>
          <w:sz w:val="22"/>
          <w:szCs w:val="22"/>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pPr>
        <w:spacing w:line="480" w:lineRule="auto"/>
        <w:ind w:firstLine="720"/>
        <w:jc w:val="both"/>
      </w:pPr>
      <w:r>
        <w:rPr>
          <w:rFonts w:ascii="Georgia" w:hAnsi="Georgia" w:cs="Georgia"/>
          <w:sz w:val="22"/>
          <w:szCs w:val="22"/>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Times New Roman" w:hAnsi="Times New Roman"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p>
    <w:p>
      <w:pPr>
        <w:spacing w:line="480" w:lineRule="auto"/>
        <w:ind w:firstLine="720"/>
        <w:jc w:val="both"/>
      </w:pPr>
      <w:r>
        <w:rPr>
          <w:rFonts w:ascii="Times New Roman" w:hAnsi="Times New Roman" w:cs="Georgia"/>
          <w:sz w:val="22"/>
          <w:szCs w:val="22"/>
        </w:rPr>
        <w:t>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before="0" w:after="0"/>
        <w:ind w:firstLine="720"/>
        <w:jc w:val="both"/>
        <w:rPr/>
      </w:pPr>
      <w:bookmarkStart w:colFirst="0" w:colLast="0" w:name="_ee0vf2s7xxwt" w:id="0"/>
      <w:bookmarkEnd w:id="0"/>
      <w:r w:rsidDel="00000000" w:rsidR="00000000" w:rsidRPr="00000000">
        <w:rPr>
          <w:rFonts w:ascii="Times New Roman" w:cs="Georgia" w:eastAsia="Georgia" w:hAnsi="Times New Roman"/>
          <w:b w:val="0"/>
          <w:sz w:val="22"/>
          <w:szCs w:val="22"/>
          <w:rtl w:val="0"/>
        </w:rPr>
        <w:t>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Times New Roman" w:hAnsi="Times New Roman"/>
          <w:b w:val="0"/>
          <w:sz w:val="22"/>
          <w:rtl w:val="0"/>
        </w:rPr>
      </w:r>
    </w:p>
    <w:p>
      <w:pPr>
        <w:spacing w:line="480" w:lineRule="auto" w:before="240" w:after="0"/>
        <w:jc w:val="center"/>
      </w:pPr>
      <w:r>
        <w:rPr>
          <w:rFonts w:ascii="Times New Roman" w:hAnsi="Times New Roman"/>
          <w:b/>
          <w:sz w:val="22"/>
        </w:rPr>
        <w:t>Table 1</w:t>
      </w:r>
    </w:p>
    <w:p>
      <w:pPr>
        <w:spacing w:line="480" w:lineRule="auto" w:before="0" w:after="120"/>
        <w:jc w:val="center"/>
      </w:pPr>
      <w:r>
        <w:rPr>
          <w:rFonts w:ascii="Times New Roman" w:hAnsi="Times New Roman"/>
          <w:b w:val="0"/>
          <w:sz w:val="22"/>
        </w:rPr>
        <w:t>Discursive orientations for caption coding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pPr>
              <w:spacing w:before="40" w:after="40" w:line="276" w:lineRule="auto"/>
              <w:jc w:val="center"/>
            </w:pPr>
            <w:r>
              <w:rPr>
                <w:rFonts w:ascii="Times New Roman" w:hAnsi="Times New Roman"/>
                <w:b/>
                <w:sz w:val="20"/>
              </w:rPr>
            </w:r>
          </w:p>
        </w:tc>
        <w:tc>
          <w:tcPr>
            <w:tcW w:type="dxa" w:w="2769"/>
          </w:tcPr>
          <w:p>
            <w:pPr>
              <w:spacing w:before="40" w:after="40" w:line="276" w:lineRule="auto"/>
              <w:jc w:val="center"/>
            </w:pPr>
            <w:r>
              <w:rPr>
                <w:rFonts w:ascii="Times New Roman" w:hAnsi="Times New Roman"/>
                <w:b/>
                <w:sz w:val="20"/>
              </w:rPr>
              <w:t>Hope Construction</w:t>
            </w:r>
          </w:p>
        </w:tc>
        <w:tc>
          <w:tcPr>
            <w:tcW w:type="dxa" w:w="2769"/>
          </w:tcPr>
          <w:p>
            <w:pPr>
              <w:spacing w:before="40" w:after="40" w:line="276" w:lineRule="auto"/>
              <w:jc w:val="center"/>
            </w:pPr>
            <w:r>
              <w:rPr>
                <w:rFonts w:ascii="Times New Roman" w:hAnsi="Times New Roman"/>
                <w:b/>
                <w:sz w:val="20"/>
              </w:rPr>
              <w:t>Empowerment Language</w:t>
            </w:r>
          </w:p>
        </w:tc>
      </w:tr>
      <w:tr>
        <w:tc>
          <w:tcPr>
            <w:tcW w:type="dxa" w:w="2769"/>
          </w:tcPr>
          <w:p>
            <w:pPr>
              <w:spacing w:before="40" w:after="40" w:line="276" w:lineRule="auto"/>
            </w:pPr>
            <w:r>
              <w:rPr>
                <w:rFonts w:ascii="Times New Roman" w:hAnsi="Times New Roman"/>
                <w:b/>
                <w:sz w:val="20"/>
              </w:rPr>
              <w:t>Discursive focus</w:t>
            </w:r>
          </w:p>
        </w:tc>
        <w:tc>
          <w:tcPr>
            <w:tcW w:type="dxa" w:w="2769"/>
          </w:tcPr>
          <w:p>
            <w:pPr>
              <w:spacing w:before="40" w:after="40" w:line="276" w:lineRule="auto"/>
            </w:pPr>
            <w:r>
              <w:rPr>
                <w:rFonts w:ascii="Times New Roman" w:hAnsi="Times New Roman"/>
                <w:b w:val="0"/>
                <w:sz w:val="20"/>
              </w:rPr>
              <w:t>Future possibility or recovery trajectory</w:t>
            </w:r>
          </w:p>
        </w:tc>
        <w:tc>
          <w:tcPr>
            <w:tcW w:type="dxa" w:w="2769"/>
          </w:tcPr>
          <w:p>
            <w:pPr>
              <w:spacing w:before="40" w:after="40" w:line="276" w:lineRule="auto"/>
            </w:pPr>
            <w:r>
              <w:rPr>
                <w:rFonts w:ascii="Times New Roman" w:hAnsi="Times New Roman"/>
                <w:b w:val="0"/>
                <w:sz w:val="20"/>
              </w:rPr>
              <w:t>Present capacity to act or decide</w:t>
            </w:r>
          </w:p>
        </w:tc>
      </w:tr>
      <w:tr>
        <w:tc>
          <w:tcPr>
            <w:tcW w:type="dxa" w:w="2769"/>
          </w:tcPr>
          <w:p>
            <w:pPr>
              <w:spacing w:before="40" w:after="40" w:line="276" w:lineRule="auto"/>
            </w:pPr>
            <w:r>
              <w:rPr>
                <w:rFonts w:ascii="Times New Roman" w:hAnsi="Times New Roman"/>
                <w:b/>
                <w:sz w:val="20"/>
              </w:rPr>
              <w:t>Reader position</w:t>
            </w:r>
          </w:p>
        </w:tc>
        <w:tc>
          <w:tcPr>
            <w:tcW w:type="dxa" w:w="2769"/>
          </w:tcPr>
          <w:p>
            <w:pPr>
              <w:spacing w:before="40" w:after="40" w:line="276" w:lineRule="auto"/>
            </w:pPr>
            <w:r>
              <w:rPr>
                <w:rFonts w:ascii="Times New Roman" w:hAnsi="Times New Roman"/>
                <w:b w:val="0"/>
                <w:sz w:val="20"/>
              </w:rPr>
              <w:t>Someone who can look forward</w:t>
            </w:r>
          </w:p>
        </w:tc>
        <w:tc>
          <w:tcPr>
            <w:tcW w:type="dxa" w:w="2769"/>
          </w:tcPr>
          <w:p>
            <w:pPr>
              <w:spacing w:before="40" w:after="40" w:line="276" w:lineRule="auto"/>
            </w:pPr>
            <w:r>
              <w:rPr>
                <w:rFonts w:ascii="Times New Roman" w:hAnsi="Times New Roman"/>
                <w:b w:val="0"/>
                <w:sz w:val="20"/>
              </w:rPr>
              <w:t>Someone who can take charge</w:t>
            </w:r>
          </w:p>
        </w:tc>
      </w:tr>
      <w:tr>
        <w:tc>
          <w:tcPr>
            <w:tcW w:type="dxa" w:w="2769"/>
          </w:tcPr>
          <w:p>
            <w:pPr>
              <w:spacing w:before="40" w:after="40" w:line="276" w:lineRule="auto"/>
            </w:pPr>
            <w:r>
              <w:rPr>
                <w:rFonts w:ascii="Times New Roman" w:hAnsi="Times New Roman"/>
                <w:b/>
                <w:sz w:val="20"/>
              </w:rPr>
              <w:t>Basic speech act</w:t>
            </w:r>
          </w:p>
        </w:tc>
        <w:tc>
          <w:tcPr>
            <w:tcW w:type="dxa" w:w="2769"/>
          </w:tcPr>
          <w:p>
            <w:pPr>
              <w:spacing w:before="40" w:after="40" w:line="276" w:lineRule="auto"/>
            </w:pPr>
            <w:r>
              <w:rPr>
                <w:rFonts w:ascii="Times New Roman" w:hAnsi="Times New Roman"/>
                <w:b w:val="0"/>
                <w:sz w:val="20"/>
              </w:rPr>
              <w:t>Things can or will get better</w:t>
            </w:r>
          </w:p>
        </w:tc>
        <w:tc>
          <w:tcPr>
            <w:tcW w:type="dxa" w:w="2769"/>
          </w:tcPr>
          <w:p>
            <w:pPr>
              <w:spacing w:before="40" w:after="40" w:line="276" w:lineRule="auto"/>
            </w:pPr>
            <w:r>
              <w:rPr>
                <w:rFonts w:ascii="Times New Roman" w:hAnsi="Times New Roman"/>
                <w:b w:val="0"/>
                <w:sz w:val="20"/>
              </w:rPr>
              <w:t>You can or should act</w:t>
            </w:r>
          </w:p>
        </w:tc>
      </w:tr>
      <w:tr>
        <w:tc>
          <w:tcPr>
            <w:tcW w:type="dxa" w:w="2769"/>
          </w:tcPr>
          <w:p>
            <w:pPr>
              <w:spacing w:before="40" w:after="40" w:line="276" w:lineRule="auto"/>
            </w:pPr>
            <w:r>
              <w:rPr>
                <w:rFonts w:ascii="Times New Roman" w:hAnsi="Times New Roman"/>
                <w:b/>
                <w:sz w:val="20"/>
              </w:rPr>
              <w:t>Time orientation</w:t>
            </w:r>
          </w:p>
        </w:tc>
        <w:tc>
          <w:tcPr>
            <w:tcW w:type="dxa" w:w="2769"/>
          </w:tcPr>
          <w:p>
            <w:pPr>
              <w:spacing w:before="40" w:after="40" w:line="276" w:lineRule="auto"/>
            </w:pPr>
            <w:r>
              <w:rPr>
                <w:rFonts w:ascii="Times New Roman" w:hAnsi="Times New Roman"/>
                <w:b w:val="0"/>
                <w:sz w:val="20"/>
              </w:rPr>
              <w:t>Forward-looking</w:t>
            </w:r>
          </w:p>
        </w:tc>
        <w:tc>
          <w:tcPr>
            <w:tcW w:type="dxa" w:w="2769"/>
          </w:tcPr>
          <w:p>
            <w:pPr>
              <w:spacing w:before="40" w:after="40" w:line="276" w:lineRule="auto"/>
            </w:pPr>
            <w:r>
              <w:rPr>
                <w:rFonts w:ascii="Times New Roman" w:hAnsi="Times New Roman"/>
                <w:b w:val="0"/>
                <w:sz w:val="20"/>
              </w:rPr>
              <w:t>Present-oriented agency</w:t>
            </w:r>
          </w:p>
        </w:tc>
      </w:tr>
    </w:tbl>
    <w:p>
      <w:pPr>
        <w:spacing w:line="480" w:lineRule="auto" w:before="0" w:after="0"/>
        <w:ind w:firstLine="720"/>
        <w:jc w:val="both"/>
      </w:pPr>
      <w:r>
        <w:rPr>
          <w:rFonts w:ascii="Times New Roman" w:hAnsi="Times New Roman"/>
          <w:b w:val="0"/>
          <w:sz w:val="22"/>
        </w:rPr>
        <w:t>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operationalized through empathy markers, validation language, encouragement phrases, and second-person affirmation</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Fonts w:ascii="Times New Roman" w:hAnsi="Times New Roman"/>
          <w:b w:val="0"/>
          <w:sz w:val="22"/>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Times New Roman" w:cs="Georgia" w:eastAsia="Georgia" w:hAnsi="Times New Roman"/>
          <w:b w:val="0"/>
          <w:sz w:val="22"/>
          <w:szCs w:val="22"/>
          <w:rtl w:val="0"/>
        </w:rPr>
        <w:t>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eligible comments written directly under the post are selected for each caption.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Times New Roman" w:cs="Georgia" w:eastAsia="Georgia" w:hAnsi="Times New Roman"/>
          <w:sz w:val="22"/>
          <w:szCs w:val="22"/>
          <w:rtl w:val="0"/>
        </w:rPr>
        <w:t>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eligible comments written directly under the caption are selected. When both kinds of response appear among those comments, one that offers encouragement or validation without a personal story and one that shares a personal experience are taken. When only one kind appears, the two clearest eligible comments of that kind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Times New Roman" w:cs="Georgia" w:eastAsia="Georgia" w:hAnsi="Times New Roman"/>
          <w:sz w:val="22"/>
          <w:szCs w:val="22"/>
          <w:rtl w:val="0"/>
        </w:rPr>
        <w:t>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eligible comments per post. Only comments written directly under the post are included. Nested replies are excluded.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Times New Roman" w:cs="Georgia" w:eastAsia="Georgia" w:hAnsi="Times New Roman"/>
          <w:sz w:val="22"/>
          <w:szCs w:val="22"/>
          <w:rtl w:val="0"/>
        </w:rPr>
        <w:t>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Eligible Comment. 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1. Corpus Screening. 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3. Caption Coding.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4. Comment Extraction and Coding. 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Times New Roman" w:cs="Georgia" w:eastAsia="Georgia" w:hAnsi="Times New Roman"/>
          <w:sz w:val="22"/>
          <w:szCs w:val="22"/>
          <w:rtl w:val="0"/>
        </w:rPr>
        <w:t>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eligible comments written directly under the caption are selected. When both kinds of response appear among eligible comments, one that offers encouragement or validation without a personal story and one that shares a personal experience are taken. When only one kind appears, the two clearest eligible comments of that kind are taken. Eligibility requires English language and enough continuous text for linguistic analysis. Nested replies are excluded.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Times New Roman" w:cs="Georgia" w:eastAsia="Georgia" w:hAnsi="Times New Roman"/>
          <w:b w:val="0"/>
          <w:i w:val="1"/>
          <w:iCs w:val="1"/>
          <w:sz w:val="22"/>
          <w:szCs w:val="22"/>
          <w:rtl w:val="0"/>
        </w:rPr>
        <w:t xml:space="preserve">Journal of the American Society for Information Science and Technology, 60</w:t>
      </w:r>
      <w:r w:rsidDel="00000000" w:rsidR="00000000" w:rsidRPr="00000000">
        <w:rPr>
          <w:rFonts w:ascii="Times New Roman" w:cs="Georgia" w:eastAsia="Georgia" w:hAnsi="Times New Roman"/>
          <w:b w:val="0"/>
          <w:sz w:val="22"/>
          <w:szCs w:val="22"/>
          <w:rtl w:val="0"/>
        </w:rPr>
        <w:t xml:space="preserve">(7), 1504–1517. https://doi.org/10.1002/asi.21070</w:t>
      </w:r>
      <w:r w:rsidDel="00000000" w:rsidR="00000000" w:rsidRPr="00000000">
        <w:rPr>
          <w:rFonts w:ascii="Times New Roman" w:hAnsi="Times New Roman"/>
          <w:b w:val="0"/>
          <w:sz w:val="22"/>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line="276" w:lineRule="auto"/>
            </w:pPr>
            <w:r>
              <w:rPr>
                <w:rFonts w:ascii="Times New Roman" w:hAnsi="Times New Roman"/>
                <w:b w:val="0"/>
                <w:sz w:val="18"/>
              </w:rPr>
              <w:t>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pPr>
            <w:r/>
            <w:r>
              <w:rPr>
                <w:rFonts w:ascii="Times New Roman" w:hAnsi="Times New Roman"/>
                <w:sz w:val="18"/>
              </w:rPr>
              <w:t>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pPr>
            <w:r/>
            <w:r>
              <w:rPr>
                <w:rFonts w:ascii="Times New Roman" w:hAnsi="Times New Roman"/>
                <w:sz w:val="18"/>
              </w:rPr>
              <w:t>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
        <w:rPr>
          <w:rFonts w:ascii="Times New Roman" w:hAnsi="Times New Roman"/>
          <w:b w:val="0"/>
          <w:sz w:val="20"/>
        </w:rPr>
        <w:t>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