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cs="Georgia"/>
          <w:sz w:val="22"/>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b w:val="0"/>
          <w:i w:val="0"/>
          <w:sz w:val="22"/>
          <w:szCs w:val="22"/>
          <w:rtl w:val="0"/>
        </w:rPr>
        <w:t>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cs="Georgia"/>
          <w:b w:val="0"/>
          <w:i w:val="0"/>
          <w:sz w:val="22"/>
          <w:rtl w:val="0"/>
        </w:rPr>
      </w:r>
    </w:p>
    <w:p>
      <w:pPr>
        <w:spacing w:line="480" w:lineRule="auto"/>
        <w:ind w:firstLine="720"/>
        <w:jc w:val="both"/>
      </w:pPr>
      <w:r>
        <w:rPr>
          <w:rFonts w:ascii="Georgia" w:hAnsi="Georgia" w:cs="Georgia"/>
          <w:b w:val="0"/>
          <w:i w:val="0"/>
          <w:sz w:val="22"/>
        </w:rPr>
        <w:t>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p>
    <w:p>
      <w:pPr>
        <w:spacing w:line="480" w:lineRule="auto"/>
        <w:ind w:firstLine="720"/>
        <w:jc w:val="both"/>
      </w:pPr>
      <w:r>
        <w:rPr>
          <w:rFonts w:ascii="Georgia" w:hAnsi="Georgia" w:cs="Georgia"/>
          <w:b w:val="0"/>
          <w:i w:val="0"/>
          <w:sz w:val="22"/>
        </w:rPr>
        <w:t>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p>
    <w:p>
      <w:pPr>
        <w:spacing w:line="480" w:lineRule="auto"/>
        <w:ind w:firstLine="720"/>
        <w:jc w:val="both"/>
      </w:pPr>
      <w:r>
        <w:rPr>
          <w:rFonts w:ascii="Georgia" w:hAnsi="Georgia" w:cs="Georgia"/>
          <w:b w:val="0"/>
          <w:i w:val="0"/>
          <w:sz w:val="22"/>
        </w:rPr>
        <w:t>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b w:val="0"/>
          <w:i w:val="0"/>
          <w:sz w:val="22"/>
          <w:szCs w:val="22"/>
          <w:rtl w:val="0"/>
        </w:rPr>
        <w:t>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cs="Georgia"/>
          <w:b w:val="0"/>
          <w:i w:val="0"/>
          <w:sz w:val="22"/>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Koteyko and Atanasova (2018) demonstrate the value of discourse-analytic approaches for analyzing mental health advocacy on social media, their focus on Twitter positioning and multimodal interaction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
        <w:t>Wang, X. (2025). Representing depression in social media: Content analysis of mental support posts on Weibo in China. In Proceedings of the 2025 4th International Conference on Educational Science and Social Culture (ESSC 2025). Atlantis Press.</w:t>
      </w:r>
    </w:p>
    <w:p>
      <w:r>
        <w:t>Myrick, J. G., Holton, A. E., Himelboim, I., &amp; Love, B. (2015). #Stupidcancer: Exploring a typology of social support and the role of emotional expression in a social media community. Health Communication, 31(5), 596-605. https://doi.org/10.1080/10410236.2014.981664</w:t>
      </w:r>
    </w:p>
    <w:p>
      <w:r>
        <w:t>Kim, M., Saha, K., De Choudhury, M., &amp; Choi, D. (2023). Supporters first: Understanding online social support on mental health from a supporter perspective. Proceedings of the ACM on Human-Computer Interaction, 7(CSCW1), Article 92. https://doi.org/10.1145/3579525</w:t>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