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Times New Roman" w:cs="Georgia" w:eastAsia="Georgia" w:hAnsi="Times New Roman"/>
          <w:b w:val="1"/>
          <w:bCs w:val="1"/>
          <w:sz w:val="22"/>
          <w:szCs w:val="28"/>
          <w:rtl w:val="0"/>
        </w:rPr>
        <w:t>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ind w:firstLine="720"/>
        <w:jc w:val="both"/>
      </w:pPr>
      <w:r>
        <w:rPr>
          <w:rFonts w:ascii="Georgia" w:hAnsi="Georgia" w:cs="Georgia"/>
          <w:sz w:val="22"/>
          <w:szCs w:val="22"/>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pPr>
        <w:spacing w:line="480" w:lineRule="auto"/>
        <w:ind w:firstLine="720"/>
        <w:jc w:val="both"/>
      </w:pPr>
      <w:r>
        <w:rPr>
          <w:rFonts w:ascii="Georgia" w:hAnsi="Georgia" w:cs="Georgia"/>
          <w:sz w:val="22"/>
          <w:szCs w:val="22"/>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Times New Roman" w:hAnsi="Times New Roman"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p>
    <w:p>
      <w:pPr>
        <w:spacing w:line="480" w:lineRule="auto"/>
        <w:ind w:firstLine="720"/>
        <w:jc w:val="both"/>
      </w:pPr>
      <w:r>
        <w:rPr>
          <w:rFonts w:ascii="Times New Roman" w:hAnsi="Times New Roman" w:cs="Georgia"/>
          <w:sz w:val="22"/>
          <w:szCs w:val="22"/>
        </w:rPr>
        <w:t>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before="0" w:after="0"/>
        <w:ind w:firstLine="720"/>
        <w:jc w:val="both"/>
        <w:rPr/>
      </w:pPr>
      <w:bookmarkStart w:colFirst="0" w:colLast="0" w:name="_ee0vf2s7xxwt" w:id="0"/>
      <w:bookmarkEnd w:id="0"/>
      <w:r w:rsidDel="00000000" w:rsidR="00000000" w:rsidRPr="00000000">
        <w:rPr>
          <w:rFonts w:ascii="Times New Roman" w:cs="Georgia" w:eastAsia="Georgia" w:hAnsi="Times New Roman"/>
          <w:b w:val="0"/>
          <w:sz w:val="22"/>
          <w:szCs w:val="22"/>
          <w:rtl w:val="0"/>
        </w:rPr>
        <w:t>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Times New Roman" w:hAnsi="Times New Roman"/>
          <w:b w:val="0"/>
          <w:sz w:val="22"/>
          <w:rtl w:val="0"/>
        </w:rPr>
      </w:r>
    </w:p>
    <w:p>
      <w:pPr>
        <w:spacing w:line="480" w:lineRule="auto" w:before="240" w:after="0"/>
        <w:jc w:val="center"/>
      </w:pPr>
      <w:r>
        <w:rPr>
          <w:rFonts w:ascii="Times New Roman" w:hAnsi="Times New Roman"/>
          <w:b/>
          <w:sz w:val="22"/>
        </w:rPr>
        <w:t>Table 1</w:t>
      </w:r>
    </w:p>
    <w:p>
      <w:pPr>
        <w:spacing w:line="480" w:lineRule="auto" w:before="0" w:after="120"/>
        <w:jc w:val="center"/>
      </w:pPr>
      <w:r>
        <w:rPr>
          <w:rFonts w:ascii="Times New Roman" w:hAnsi="Times New Roman"/>
          <w:b w:val="0"/>
          <w:sz w:val="22"/>
        </w:rPr>
        <w:t>Discursive orientations for caption coding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pPr>
              <w:spacing w:before="40" w:after="40" w:line="276" w:lineRule="auto"/>
              <w:jc w:val="center"/>
            </w:pPr>
            <w:r>
              <w:rPr>
                <w:rFonts w:ascii="Times New Roman" w:hAnsi="Times New Roman"/>
                <w:b/>
                <w:sz w:val="20"/>
              </w:rPr>
            </w:r>
          </w:p>
        </w:tc>
        <w:tc>
          <w:tcPr>
            <w:tcW w:type="dxa" w:w="2769"/>
          </w:tcPr>
          <w:p>
            <w:pPr>
              <w:spacing w:before="40" w:after="40" w:line="276" w:lineRule="auto"/>
              <w:jc w:val="center"/>
            </w:pPr>
            <w:r>
              <w:rPr>
                <w:rFonts w:ascii="Times New Roman" w:hAnsi="Times New Roman"/>
                <w:b/>
                <w:sz w:val="20"/>
              </w:rPr>
              <w:t>Hope Construction</w:t>
            </w:r>
          </w:p>
        </w:tc>
        <w:tc>
          <w:tcPr>
            <w:tcW w:type="dxa" w:w="2769"/>
          </w:tcPr>
          <w:p>
            <w:pPr>
              <w:spacing w:before="40" w:after="40" w:line="276" w:lineRule="auto"/>
              <w:jc w:val="center"/>
            </w:pPr>
            <w:r>
              <w:rPr>
                <w:rFonts w:ascii="Times New Roman" w:hAnsi="Times New Roman"/>
                <w:b/>
                <w:sz w:val="20"/>
              </w:rPr>
              <w:t>Empowerment Language</w:t>
            </w:r>
          </w:p>
        </w:tc>
      </w:tr>
      <w:tr>
        <w:tc>
          <w:tcPr>
            <w:tcW w:type="dxa" w:w="2769"/>
          </w:tcPr>
          <w:p>
            <w:pPr>
              <w:spacing w:before="40" w:after="40" w:line="276" w:lineRule="auto"/>
            </w:pPr>
            <w:r>
              <w:rPr>
                <w:rFonts w:ascii="Times New Roman" w:hAnsi="Times New Roman"/>
                <w:b/>
                <w:sz w:val="20"/>
              </w:rPr>
              <w:t>Discursive focus</w:t>
            </w:r>
          </w:p>
        </w:tc>
        <w:tc>
          <w:tcPr>
            <w:tcW w:type="dxa" w:w="2769"/>
          </w:tcPr>
          <w:p>
            <w:pPr>
              <w:spacing w:before="40" w:after="40" w:line="276" w:lineRule="auto"/>
            </w:pPr>
            <w:r>
              <w:rPr>
                <w:rFonts w:ascii="Times New Roman" w:hAnsi="Times New Roman"/>
                <w:b w:val="0"/>
                <w:sz w:val="20"/>
              </w:rPr>
              <w:t>Future possibility or recovery trajectory</w:t>
            </w:r>
          </w:p>
        </w:tc>
        <w:tc>
          <w:tcPr>
            <w:tcW w:type="dxa" w:w="2769"/>
          </w:tcPr>
          <w:p>
            <w:pPr>
              <w:spacing w:before="40" w:after="40" w:line="276" w:lineRule="auto"/>
            </w:pPr>
            <w:r>
              <w:rPr>
                <w:rFonts w:ascii="Times New Roman" w:hAnsi="Times New Roman"/>
                <w:b w:val="0"/>
                <w:sz w:val="20"/>
              </w:rPr>
              <w:t>Present capacity to act or decide</w:t>
            </w:r>
          </w:p>
        </w:tc>
      </w:tr>
      <w:tr>
        <w:tc>
          <w:tcPr>
            <w:tcW w:type="dxa" w:w="2769"/>
          </w:tcPr>
          <w:p>
            <w:pPr>
              <w:spacing w:before="40" w:after="40" w:line="276" w:lineRule="auto"/>
            </w:pPr>
            <w:r>
              <w:rPr>
                <w:rFonts w:ascii="Times New Roman" w:hAnsi="Times New Roman"/>
                <w:b/>
                <w:sz w:val="20"/>
              </w:rPr>
              <w:t>Reader position</w:t>
            </w:r>
          </w:p>
        </w:tc>
        <w:tc>
          <w:tcPr>
            <w:tcW w:type="dxa" w:w="2769"/>
          </w:tcPr>
          <w:p>
            <w:pPr>
              <w:spacing w:before="40" w:after="40" w:line="276" w:lineRule="auto"/>
            </w:pPr>
            <w:r>
              <w:rPr>
                <w:rFonts w:ascii="Times New Roman" w:hAnsi="Times New Roman"/>
                <w:b w:val="0"/>
                <w:sz w:val="20"/>
              </w:rPr>
              <w:t>Someone who can look forward</w:t>
            </w:r>
          </w:p>
        </w:tc>
        <w:tc>
          <w:tcPr>
            <w:tcW w:type="dxa" w:w="2769"/>
          </w:tcPr>
          <w:p>
            <w:pPr>
              <w:spacing w:before="40" w:after="40" w:line="276" w:lineRule="auto"/>
            </w:pPr>
            <w:r>
              <w:rPr>
                <w:rFonts w:ascii="Times New Roman" w:hAnsi="Times New Roman"/>
                <w:b w:val="0"/>
                <w:sz w:val="20"/>
              </w:rPr>
              <w:t>Someone who can take charge</w:t>
            </w:r>
          </w:p>
        </w:tc>
      </w:tr>
      <w:tr>
        <w:tc>
          <w:tcPr>
            <w:tcW w:type="dxa" w:w="2769"/>
          </w:tcPr>
          <w:p>
            <w:pPr>
              <w:spacing w:before="40" w:after="40" w:line="276" w:lineRule="auto"/>
            </w:pPr>
            <w:r>
              <w:rPr>
                <w:rFonts w:ascii="Times New Roman" w:hAnsi="Times New Roman"/>
                <w:b/>
                <w:sz w:val="20"/>
              </w:rPr>
              <w:t>Basic speech act</w:t>
            </w:r>
          </w:p>
        </w:tc>
        <w:tc>
          <w:tcPr>
            <w:tcW w:type="dxa" w:w="2769"/>
          </w:tcPr>
          <w:p>
            <w:pPr>
              <w:spacing w:before="40" w:after="40" w:line="276" w:lineRule="auto"/>
            </w:pPr>
            <w:r>
              <w:rPr>
                <w:rFonts w:ascii="Times New Roman" w:hAnsi="Times New Roman"/>
                <w:b w:val="0"/>
                <w:sz w:val="20"/>
              </w:rPr>
              <w:t>Things can or will get better</w:t>
            </w:r>
          </w:p>
        </w:tc>
        <w:tc>
          <w:tcPr>
            <w:tcW w:type="dxa" w:w="2769"/>
          </w:tcPr>
          <w:p>
            <w:pPr>
              <w:spacing w:before="40" w:after="40" w:line="276" w:lineRule="auto"/>
            </w:pPr>
            <w:r>
              <w:rPr>
                <w:rFonts w:ascii="Times New Roman" w:hAnsi="Times New Roman"/>
                <w:b w:val="0"/>
                <w:sz w:val="20"/>
              </w:rPr>
              <w:t>You can or should act</w:t>
            </w:r>
          </w:p>
        </w:tc>
      </w:tr>
      <w:tr>
        <w:tc>
          <w:tcPr>
            <w:tcW w:type="dxa" w:w="2769"/>
          </w:tcPr>
          <w:p>
            <w:pPr>
              <w:spacing w:before="40" w:after="40" w:line="276" w:lineRule="auto"/>
            </w:pPr>
            <w:r>
              <w:rPr>
                <w:rFonts w:ascii="Times New Roman" w:hAnsi="Times New Roman"/>
                <w:b/>
                <w:sz w:val="20"/>
              </w:rPr>
              <w:t>Time orientation</w:t>
            </w:r>
          </w:p>
        </w:tc>
        <w:tc>
          <w:tcPr>
            <w:tcW w:type="dxa" w:w="2769"/>
          </w:tcPr>
          <w:p>
            <w:pPr>
              <w:spacing w:before="40" w:after="40" w:line="276" w:lineRule="auto"/>
            </w:pPr>
            <w:r>
              <w:rPr>
                <w:rFonts w:ascii="Times New Roman" w:hAnsi="Times New Roman"/>
                <w:b w:val="0"/>
                <w:sz w:val="20"/>
              </w:rPr>
              <w:t>Forward-looking</w:t>
            </w:r>
          </w:p>
        </w:tc>
        <w:tc>
          <w:tcPr>
            <w:tcW w:type="dxa" w:w="2769"/>
          </w:tcPr>
          <w:p>
            <w:pPr>
              <w:spacing w:before="40" w:after="40" w:line="276" w:lineRule="auto"/>
            </w:pPr>
            <w:r>
              <w:rPr>
                <w:rFonts w:ascii="Times New Roman" w:hAnsi="Times New Roman"/>
                <w:b w:val="0"/>
                <w:sz w:val="20"/>
              </w:rPr>
              <w:t>Present-oriented agency</w:t>
            </w:r>
          </w:p>
        </w:tc>
      </w:tr>
    </w:tbl>
    <w:p>
      <w:pPr>
        <w:spacing w:line="480" w:lineRule="auto" w:before="0" w:after="0"/>
        <w:ind w:firstLine="720"/>
        <w:jc w:val="both"/>
      </w:pPr>
      <w:r>
        <w:rPr>
          <w:rFonts w:ascii="Times New Roman" w:hAnsi="Times New Roman"/>
          <w:b w:val="0"/>
          <w:sz w:val="22"/>
        </w:rPr>
        <w:t>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operationalized through empathy markers, validation language, encouragement phrases, and second-person affirmation</w:t>
      </w:r>
      <w:r w:rsidDel="00000000" w:rsidR="00000000" w:rsidRPr="00000000">
        <w:rPr>
          <w:rFonts w:ascii="Times New Roman" w:hAnsi="Times New Roman"/>
          <w:b w:val="0"/>
          <w:sz w:val="22"/>
          <w:szCs w:val="22"/>
          <w:rtl w:val="0"/>
        </w:rPr>
        <w:t xml:space="preserve">,</w:t>
      </w:r>
      <w:r w:rsidDel="00000000" w:rsidR="00000000" w:rsidRPr="00000000">
        <w:rPr>
          <w:rFonts w:ascii="Times New Roman" w:cs="Georgia" w:eastAsia="Georgia" w:hAnsi="Times New Roman"/>
          <w:b w:val="0"/>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Fonts w:ascii="Times New Roman" w:hAnsi="Times New Roman"/>
          <w:b w:val="0"/>
          <w:sz w:val="22"/>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Times New Roman" w:cs="Georgia" w:eastAsia="Georgia" w:hAnsi="Times New Roman"/>
          <w:b w:val="0"/>
          <w:sz w:val="22"/>
          <w:szCs w:val="22"/>
          <w:rtl w:val="0"/>
        </w:rPr>
        <w:t>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eligible top-level comments are selected per post by maximum variation on response type.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Times New Roman" w:cs="Georgia" w:eastAsia="Georgia" w:hAnsi="Times New Roman"/>
          <w:sz w:val="22"/>
          <w:szCs w:val="22"/>
          <w:rtl w:val="0"/>
        </w:rPr>
        <w:t>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eligible top-level comments are selected by maximum variation on response type when both types are present among eligible comments.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Times New Roman" w:cs="Georgia" w:eastAsia="Georgia" w:hAnsi="Times New Roman"/>
          <w:sz w:val="22"/>
          <w:szCs w:val="22"/>
          <w:rtl w:val="0"/>
        </w:rPr>
        <w:t>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eligible top-level comments per post. Nested replies are excluded.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Times New Roman" w:cs="Georgia" w:eastAsia="Georgia" w:hAnsi="Times New Roman"/>
          <w:sz w:val="22"/>
          <w:szCs w:val="22"/>
          <w:rtl w:val="0"/>
        </w:rPr>
        <w:t>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Hope Construction.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Empowerment Language. 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Function-Driven Coding.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Eligible Top-Level Comment. A comment written directly under the post (not a nested reply to another comment) that meets the study's eligibility filter: English language, sufficient continuous text for linguistic analysis (at least ten words or one analysable clause), and not limited to pure emoji, single-word reactions, tags, or links. From the eligible set, two comments per post are selected by maximum variation on response type when both types are present.</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Contemporary Corpus. 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1. Corpus Screening. 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Times New Roman" w:cs="Georgia" w:eastAsia="Georgia" w:hAnsi="Times New Roman"/>
          <w:b w:val="0"/>
          <w:bCs w:val="1"/>
          <w:sz w:val="22"/>
          <w:szCs w:val="22"/>
          <w:rtl w:val="0"/>
        </w:rPr>
        <w:t>3. Caption Coding.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Times New Roman" w:cs="Georgia" w:eastAsia="Georgia" w:hAnsi="Times New Roman"/>
          <w:b w:val="1"/>
          <w:bCs w:val="1"/>
          <w:sz w:val="22"/>
          <w:szCs w:val="22"/>
          <w:rtl w:val="0"/>
        </w:rPr>
        <w:t>4. Comment Extraction and Coding. For each retained post, top-level comments in the public chronological display are screened for eligibility. A comment is eligible only if it is written in English, contains sufficient continuous text for linguistic analysis (at least ten words or one analysable clause), and is not limited to pure emoji, single-word reactions, tags, or links. Nested replies to other comments are excluded. From the eligible set, two comments are selected by maximum variation on response type: one that leans toward supportive lexicon (encouragement, validation, or empathy without personal disclosure) and one that leans toward personal narrative framing (first-person experience related to the caption theme), when both kinds are present. When only one kind appears, the two clearest eligible examples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Times New Roman" w:cs="Georgia" w:eastAsia="Georgia" w:hAnsi="Times New Roman"/>
          <w:sz w:val="22"/>
          <w:szCs w:val="22"/>
          <w:rtl w:val="0"/>
        </w:rPr>
        <w:t>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eligible top-level comments are selected by maximum variation on response type when both supportive-lexicon and personal-narrative orientations are present among eligible comments. Eligibility requires English language and sufficient continuous text for linguistic analysis. Nested replies are excluded.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before="0" w:after="0"/>
        <w:ind w:firstLine="720"/>
        <w:jc w:val="both"/>
        <w:rPr/>
      </w:pPr>
      <w:r w:rsidDel="00000000" w:rsidR="00000000" w:rsidRPr="00000000">
        <w:rPr>
          <w:rFonts w:ascii="Times New Roman" w:cs="Georgia" w:eastAsia="Georgia" w:hAnsi="Times New Roman"/>
          <w:b w:val="0"/>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Times New Roman" w:cs="Georgia" w:eastAsia="Georgia" w:hAnsi="Times New Roman"/>
          <w:b w:val="0"/>
          <w:i w:val="1"/>
          <w:iCs w:val="1"/>
          <w:sz w:val="22"/>
          <w:szCs w:val="22"/>
          <w:rtl w:val="0"/>
        </w:rPr>
        <w:t xml:space="preserve">Journal of the American Society for Information Science and Technology, 60</w:t>
      </w:r>
      <w:r w:rsidDel="00000000" w:rsidR="00000000" w:rsidRPr="00000000">
        <w:rPr>
          <w:rFonts w:ascii="Times New Roman" w:cs="Georgia" w:eastAsia="Georgia" w:hAnsi="Times New Roman"/>
          <w:b w:val="0"/>
          <w:sz w:val="22"/>
          <w:szCs w:val="22"/>
          <w:rtl w:val="0"/>
        </w:rPr>
        <w:t xml:space="preserve">(7), 1504–1517. https://doi.org/10.1002/asi.21070</w:t>
      </w:r>
      <w:r w:rsidDel="00000000" w:rsidR="00000000" w:rsidRPr="00000000">
        <w:rPr>
          <w:rFonts w:ascii="Times New Roman" w:hAnsi="Times New Roman"/>
          <w:b w:val="0"/>
          <w:sz w:val="22"/>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line="276" w:lineRule="auto"/>
            </w:pPr>
            <w:r>
              <w:rPr>
                <w:rFonts w:ascii="Times New Roman" w:hAnsi="Times New Roman"/>
                <w:b w:val="0"/>
                <w:sz w:val="18"/>
              </w:rPr>
              <w:t>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pPr>
              <w:spacing w:before="40" w:after="40"/>
            </w:pPr>
            <w:r/>
            <w:r>
              <w:rPr>
                <w:rFonts w:ascii="Times New Roman" w:hAnsi="Times New Roman"/>
                <w:sz w:val="18"/>
              </w:rPr>
              <w:t>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pPr>
            <w:r/>
            <w:r>
              <w:rPr>
                <w:rFonts w:ascii="Times New Roman" w:hAnsi="Times New Roman"/>
                <w:sz w:val="18"/>
              </w:rPr>
              <w:t>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
        <w:rPr>
          <w:rFonts w:ascii="Times New Roman" w:hAnsi="Times New Roman"/>
          <w:b w:val="0"/>
          <w:sz w:val="20"/>
        </w:rPr>
        <w:t>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Layout w:type="fixed"/>
        <w:tblLook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pPr>
              <w:spacing w:before="40" w:after="40" w:line="276" w:lineRule="auto"/>
            </w:pPr>
            <w:r>
              <w:rPr>
                <w:rFonts w:ascii="Times New Roman" w:hAnsi="Times New Roman"/>
                <w:b w:val="0"/>
                <w:sz w:val="18"/>
              </w:rPr>
              <w:t>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