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rtl w:val="0"/>
        </w:rPr>
      </w:r>
    </w:p>
    <w:p w:rsidR="00000000" w:rsidDel="00000000" w:rsidP="00000000" w:rsidRDefault="00000000" w:rsidRPr="00000000" w14:paraId="00000018">
      <w:pPr>
        <w:keepNext w:val="1"/>
        <w:spacing w:after="0" w:before="0" w:line="480" w:lineRule="auto"/>
        <w:ind w:left="0" w:firstLine="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sz w:val="18"/>
                <w:szCs w:val="18"/>
                <w:rtl w:val="0"/>
              </w:rPr>
              <w:t xml:space="preserve">Hope Construction</w:t>
            </w: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sz w:val="18"/>
                <w:szCs w:val="18"/>
                <w:rtl w:val="0"/>
              </w:rPr>
              <w:t xml:space="preserve">Empowerment Language</w:t>
            </w:r>
            <w:r w:rsidDel="00000000" w:rsidR="00000000" w:rsidRPr="00000000">
              <w:rPr>
                <w:rFonts w:ascii="Georgia" w:hAnsi="Georgia" w:eastAsia="Georgia" w:cs="Georgia"/>
                <w:sz w:val="18"/>
                <w:rtl w:val="0"/>
              </w:rPr>
            </w:r>
          </w:p>
        </w:tc>
      </w:tr>
      <w:tr>
        <w:trPr>
          <w:cantSplit w:val="0"/>
          <w:tblHeader w:val="0"/>
        </w:trPr>
        <w:tc>
          <w:tcPr/>
          <w:p w:rsidR="00000000" w:rsidDel="00000000" w:rsidP="00000000" w:rsidRDefault="00000000" w:rsidRPr="00000000" w14:paraId="0000004D">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Discursive focus</w:t>
            </w:r>
            <w:r w:rsidDel="00000000" w:rsidR="00000000" w:rsidRPr="00000000">
              <w:rPr>
                <w:rFonts w:ascii="Georgia" w:hAnsi="Georgia" w:eastAsia="Georgia" w:cs="Georgia"/>
                <w:sz w:val="18"/>
                <w:rtl w:val="0"/>
              </w:rPr>
            </w:r>
          </w:p>
        </w:tc>
        <w:tc>
          <w:tcPr/>
          <w:p w:rsidR="00000000" w:rsidDel="00000000" w:rsidP="00000000" w:rsidRDefault="00000000" w:rsidRPr="00000000" w14:paraId="0000004E">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Future possibility or recovery trajectory</w:t>
            </w:r>
          </w:p>
        </w:tc>
        <w:tc>
          <w:tcPr/>
          <w:p w:rsidR="00000000" w:rsidDel="00000000" w:rsidP="00000000" w:rsidRDefault="00000000" w:rsidRPr="00000000" w14:paraId="0000004F">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Reader position</w:t>
            </w:r>
            <w:r w:rsidDel="00000000" w:rsidR="00000000" w:rsidRPr="00000000">
              <w:rPr>
                <w:rFonts w:ascii="Georgia" w:hAnsi="Georgia" w:eastAsia="Georgia" w:cs="Georgia"/>
                <w:sz w:val="18"/>
                <w:rtl w:val="0"/>
              </w:rPr>
            </w:r>
          </w:p>
        </w:tc>
        <w:tc>
          <w:tcPr/>
          <w:p w:rsidR="00000000" w:rsidDel="00000000" w:rsidP="00000000" w:rsidRDefault="00000000" w:rsidRPr="00000000" w14:paraId="00000051">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Someone who can look forward</w:t>
            </w:r>
          </w:p>
        </w:tc>
        <w:tc>
          <w:tcPr/>
          <w:p w:rsidR="00000000" w:rsidDel="00000000" w:rsidP="00000000" w:rsidRDefault="00000000" w:rsidRPr="00000000" w14:paraId="00000052">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Basic speech act</w:t>
            </w:r>
            <w:r w:rsidDel="00000000" w:rsidR="00000000" w:rsidRPr="00000000">
              <w:rPr>
                <w:rFonts w:ascii="Georgia" w:hAnsi="Georgia" w:eastAsia="Georgia" w:cs="Georgia"/>
                <w:sz w:val="18"/>
                <w:rtl w:val="0"/>
              </w:rPr>
            </w:r>
          </w:p>
        </w:tc>
        <w:tc>
          <w:tcPr/>
          <w:p w:rsidR="00000000" w:rsidDel="00000000" w:rsidP="00000000" w:rsidRDefault="00000000" w:rsidRPr="00000000" w14:paraId="00000054">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Things can or will get better</w:t>
            </w:r>
          </w:p>
        </w:tc>
        <w:tc>
          <w:tcPr/>
          <w:p w:rsidR="00000000" w:rsidDel="00000000" w:rsidP="00000000" w:rsidRDefault="00000000" w:rsidRPr="00000000" w14:paraId="00000055">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You can or should act</w:t>
            </w:r>
          </w:p>
        </w:tc>
      </w:tr>
      <w:tr>
        <w:trPr>
          <w:cantSplit w:val="0"/>
          <w:tblHeader w:val="0"/>
        </w:trPr>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6">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Time orientation</w:t>
            </w:r>
            <w:r w:rsidDel="00000000" w:rsidR="00000000" w:rsidRPr="00000000">
              <w:rPr>
                <w:rFonts w:ascii="Georgia" w:hAnsi="Georgia" w:eastAsia="Georgia" w:cs="Georgia"/>
                <w:sz w:val="18"/>
                <w:rtl w:val="0"/>
              </w:rPr>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7">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Forward-looking</w:t>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8">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Present-oriented agency</w:t>
            </w:r>
          </w:p>
        </w:tc>
      </w:tr>
    </w:tbl>
    <w:p w:rsidR="00000000" w:rsidDel="00000000" w:rsidP="00000000" w:rsidRDefault="00000000" w:rsidRPr="00000000" w14:paraId="00000059">
      <w:pPr>
        <w:spacing w:after="0" w:before="240" w:line="480" w:lineRule="auto"/>
        <w:ind w:left="0" w:firstLine="0"/>
        <w:jc w:val="both"/>
        <w:rPr/>
      </w:pPr>
      <w:r w:rsidDel="00000000" w:rsidR="00000000" w:rsidRPr="00000000">
        <w:rPr>
          <w:rFonts w:ascii="Georgia" w:hAnsi="Georgia" w:eastAsia="Georgia" w:cs="Georgia"/>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hAnsi="Georgia" w:eastAsia="Georgia" w:cs="Georgia"/>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makes modest but concrete contributions within a clearly bounded scope.</w:t>
      </w:r>
      <w:r w:rsidDel="00000000" w:rsidR="00000000" w:rsidRPr="00000000">
        <w:rPr>
          <w:rFonts w:ascii="Georgia" w:hAnsi="Georgia" w:eastAsia="Georgia" w:cs="Georgia"/>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Health Communication Researchers. </w:t>
      </w:r>
      <w:r w:rsidDel="00000000" w:rsidR="00000000" w:rsidRPr="00000000">
        <w:rPr>
          <w:rFonts w:ascii="Georgia" w:hAnsi="Georgia" w:eastAsia="Georgia" w:cs="Georgia"/>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Discourse Analysts. </w:t>
      </w:r>
      <w:r w:rsidDel="00000000" w:rsidR="00000000" w:rsidRPr="00000000">
        <w:rPr>
          <w:rFonts w:ascii="Georgia" w:hAnsi="Georgia" w:eastAsia="Georgia" w:cs="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BAELS Program. </w:t>
      </w:r>
      <w:r w:rsidDel="00000000" w:rsidR="00000000" w:rsidRPr="00000000">
        <w:rPr>
          <w:rFonts w:ascii="Georgia" w:hAnsi="Georgia" w:eastAsia="Georgia" w:cs="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Future Researchers. </w:t>
      </w:r>
      <w:r w:rsidDel="00000000" w:rsidR="00000000" w:rsidRPr="00000000">
        <w:rPr>
          <w:rFonts w:ascii="Georgia" w:hAnsi="Georgia" w:eastAsia="Georgia" w:cs="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following terms are defined conceptually and operationally:</w:t>
      </w:r>
      <w:r w:rsidDel="00000000" w:rsidR="00000000" w:rsidRPr="00000000">
        <w:rPr>
          <w:rFonts w:ascii="Georgia" w:hAnsi="Georgia" w:eastAsia="Georgia" w:cs="Georgia"/>
          <w:rtl w:val="0"/>
        </w:rPr>
      </w:r>
    </w:p>
    <w:p w:rsidR="00000000" w:rsidDel="00000000" w:rsidP="00000000" w:rsidRDefault="00000000" w:rsidRPr="00000000" w14:paraId="0000006F">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sz w:val="22"/>
        </w:rPr>
        <w:t xml:space="preserve">Contemporary Corpus. </w:t>
      </w:r>
      <w:r>
        <w:rPr>
          <w:rFonts w:ascii="Georgia" w:hAnsi="Georgia" w:eastAsia="Georgia" w:cs="Georgia"/>
          <w:b w:val="0"/>
          <w:sz w:val="22"/>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sz w:val="22"/>
        </w:rPr>
        <w:t xml:space="preserve">Eligible Comment. </w:t>
      </w:r>
      <w:r>
        <w:rPr>
          <w:rFonts w:ascii="Georgia" w:hAnsi="Georgia" w:eastAsia="Georgia" w:cs="Georgia"/>
          <w:b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sz w:val="22"/>
        </w:rPr>
        <w:t xml:space="preserve">Empowerment Language. </w:t>
      </w:r>
      <w:r>
        <w:rPr>
          <w:rFonts w:ascii="Georgia" w:hAnsi="Georgia" w:eastAsia="Georgia" w:cs="Georgia"/>
          <w:b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sz w:val="22"/>
        </w:rPr>
        <w:t xml:space="preserve">Function-Driven Coding. </w:t>
      </w:r>
      <w:r>
        <w:rPr>
          <w:rFonts w:ascii="Georgia" w:hAnsi="Georgia" w:eastAsia="Georgia" w:cs="Georgia"/>
          <w:b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sz w:val="22"/>
        </w:rPr>
        <w:t xml:space="preserve">Hope Construction. </w:t>
      </w:r>
      <w:r>
        <w:rPr>
          <w:rFonts w:ascii="Georgia" w:hAnsi="Georgia" w:eastAsia="Georgia" w:cs="Georgia"/>
          <w:b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sz w:val="22"/>
        </w:rPr>
        <w:t xml:space="preserve">Personal Narrative Framing. </w:t>
      </w:r>
      <w:r>
        <w:rPr>
          <w:rFonts w:ascii="Georgia" w:hAnsi="Georgia" w:eastAsia="Georgia" w:cs="Georgia"/>
          <w:b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sz w:val="22"/>
        </w:rPr>
        <w:t xml:space="preserve">Supportive Lexicon. </w:t>
      </w:r>
      <w:r>
        <w:rPr>
          <w:rFonts w:ascii="Georgia" w:hAnsi="Georgia" w:eastAsia="Georgia" w:cs="Georgia"/>
          <w:b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firstLine="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firstLine="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rtl w:val="0"/>
        </w:rPr>
      </w:r>
    </w:p>
    <w:p w:rsidR="00000000" w:rsidDel="00000000" w:rsidP="00000000" w:rsidRDefault="00000000" w:rsidRPr="00000000" w14:paraId="00000081">
      <w:pPr>
        <w:spacing w:line="480" w:lineRule="auto" w:before="0" w:after="0"/>
        <w:ind w:left="0" w:firstLine="720"/>
        <w:jc w:val="both"/>
        <w:rPr/>
      </w:pPr>
      <w: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rtl w:val="0"/>
        </w:rPr>
      </w:r>
    </w:p>
    <w:p w:rsidR="00000000" w:rsidDel="00000000" w:rsidP="00000000" w:rsidRDefault="00000000" w:rsidRPr="00000000" w14:paraId="00000085">
      <w:pPr>
        <w:spacing w:line="480" w:lineRule="auto" w:before="0" w:after="0"/>
        <w:ind w:left="0" w:firstLine="720"/>
        <w:jc w:val="both"/>
        <w:rPr/>
      </w:pPr>
      <w: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rtl w:val="0"/>
        </w:rPr>
      </w:r>
    </w:p>
    <w:p w:rsidR="00000000" w:rsidDel="00000000" w:rsidP="00000000" w:rsidRDefault="00000000" w:rsidRPr="00000000" w14:paraId="00000087">
      <w:pPr>
        <w:spacing w:line="480" w:lineRule="auto" w:before="0" w:after="0"/>
        <w:ind w:left="0" w:firstLine="720"/>
        <w:jc w:val="both"/>
        <w:rPr/>
      </w:pPr>
      <w:r>
        <w:t>The study proceeded through the following steps:</w:t>
      </w:r>
    </w:p>
    <w:p w:rsidR="00000000" w:rsidDel="00000000" w:rsidP="00000000" w:rsidRDefault="00000000" w:rsidRPr="00000000" w14:paraId="00000088">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t>1. Corpus Screening. 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t>2. Ethical Compliance. 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t>3. Caption Coding. 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p>
    <w:p w:rsidR="00000000" w:rsidDel="00000000" w:rsidP="00000000" w:rsidRDefault="00000000" w:rsidRPr="00000000" w14:paraId="0000008C">
      <w:pPr>
        <w:spacing w:line="480" w:lineRule="auto" w:before="0" w:after="0"/>
        <w:ind w:left="0" w:firstLine="720"/>
        <w:jc w:val="both"/>
        <w:rPr/>
      </w:pPr>
      <w:r>
        <w:t>4. Comment Extraction and Coding. 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t>5. Integration and Analysis. All coded data was pooled across three analytical tasks: (a) Caption strategy distribution. The proportion of HOPE vs. EMPOWERMENT across the 30-caption corpus was described, with dominant feature types tallied per category. (b) Comment linguistic features. The dominant response types (SUPPORTIVE LEXICON vs. PERSONAL NARRATIVE) and their characteristic linguistic markers across all 60 comment units were described independently. (c) Cross-level synthesis. Patterns at the intersection of caption type and comment response type were described to characterize how positive mental health meanings are collectively constructed. The analysis is strictly descriptive: it identifies linguistic patterns and feature frequencies without making temporal, causal, or generalizable claims.</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rtl w:val="0"/>
        </w:rPr>
      </w:r>
    </w:p>
    <w:p w:rsidR="00000000" w:rsidDel="00000000" w:rsidP="00000000" w:rsidRDefault="00000000" w:rsidRPr="00000000" w14:paraId="00000090">
      <w:pPr>
        <w:spacing w:line="480" w:lineRule="auto" w:before="0" w:after="0"/>
        <w:ind w:left="0" w:firstLine="720"/>
        <w:jc w:val="both"/>
        <w:rPr/>
      </w:pPr>
      <w: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through December 2025, with preference for 2025. No cross-year comparison is performed.</w:t>
      </w:r>
    </w:p>
    <w:p w:rsidR="00000000" w:rsidDel="00000000" w:rsidP="00000000" w:rsidRDefault="00000000" w:rsidRPr="00000000" w14:paraId="00000091">
      <w:pPr>
        <w:spacing w:line="480" w:lineRule="auto" w:before="0" w:after="0"/>
        <w:ind w:left="0" w:firstLine="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firstLine="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jc w:val="left"/>
      </w:pPr>
      <w:r>
        <w:rPr>
          <w:rFonts w:ascii="Georgia" w:hAnsi="Georgia" w:eastAsia="Georgia" w:cs="Georgia"/>
          <w:b/>
          <w:sz w:val="28"/>
          <w:szCs w:val="28"/>
        </w:rPr>
        <w:t xml:space="preserve">RESULTS, ANALYSIS, AND DISCUSSION</w:t>
      </w:r>
    </w:p>
    <w:p>
      <w:pPr>
        <w:ind w:firstLine="720"/>
        <w:spacing w:line="480" w:lineRule="auto" w:before="0" w:after="0"/>
        <w:jc w:val="left"/>
      </w:pPr>
      <w:r>
        <w:rPr>
          <w:rFonts w:ascii="Georgia" w:hAnsi="Georgia" w:eastAsia="Georgia" w:cs="Georgia"/>
          <w:sz w:val="22"/>
          <w:szCs w:val="22"/>
        </w:rPr>
        <w:t xml:space="preserve">This chapter reports and interprets the linguistic patterns observed in the 30-caption corpus and the accompanying comments. The focus is qualitative and discourse-analytic. Counts are used only to orient the reader to what was common or rare in this corpus. They are not treated as statistical tests or generalizable rates. The chapter is organized in three parts that follow the research questions. Part I addresses Research Question 1 by describing the lexical and grammatical features that construct hope and empowerment in captions. Part II addresses Research Question 2 by describing the linguistic features of public comment responses. Part III addresses Research Question 3 by reading caption and comment patterns together as evidence of how positive mental health meanings are discursively co-constructed in Instagram advocacy spaces.</w:t>
      </w:r>
    </w:p>
    <w:p>
      <w:pPr>
        <w:spacing w:line="480" w:lineRule="auto" w:before="240" w:after="0"/>
        <w:jc w:val="left"/>
      </w:pPr>
      <w:r>
        <w:rPr>
          <w:rFonts w:ascii="Georgia" w:hAnsi="Georgia" w:eastAsia="Georgia" w:cs="Georgia"/>
          <w:i/>
          <w:sz w:val="24"/>
          <w:szCs w:val="24"/>
        </w:rPr>
        <w:t xml:space="preserve">Part I: Caption Strategies for Hope and Empowerment</w:t>
      </w:r>
    </w:p>
    <w:p>
      <w:pPr>
        <w:ind w:firstLine="720"/>
        <w:spacing w:line="480" w:lineRule="auto" w:before="0" w:after="0"/>
        <w:jc w:val="left"/>
      </w:pPr>
      <w:r>
        <w:rPr>
          <w:rFonts w:ascii="Georgia" w:hAnsi="Georgia" w:eastAsia="Georgia" w:cs="Georgia"/>
          <w:sz w:val="22"/>
          <w:szCs w:val="22"/>
        </w:rPr>
        <w:t xml:space="preserve">Part I answers Research Question 1: what lexical and grammatical features on Instagram captions construct hope and empowerment. Caption coding followed the two-stage Identify-and-Sort procedure in Appendix A. Hope construction and empowerment language were marked present or absent from the illustrative markers. Each caption then received a dominant code of HOPE, EMPOWERMENT, or BOTH.</w:t>
      </w:r>
    </w:p>
    <w:p>
      <w:pPr>
        <w:spacing w:line="480" w:lineRule="auto" w:before="240" w:after="0"/>
        <w:jc w:val="left"/>
      </w:pPr>
      <w:r>
        <w:rPr>
          <w:rFonts w:ascii="Georgia" w:hAnsi="Georgia" w:eastAsia="Georgia" w:cs="Georgia"/>
          <w:i/>
          <w:sz w:val="24"/>
          <w:szCs w:val="24"/>
        </w:rPr>
        <w:t xml:space="preserve">Dominant caption orientations in the corpus</w:t>
      </w:r>
    </w:p>
    <w:p>
      <w:pPr>
        <w:ind w:firstLine="720"/>
        <w:spacing w:line="480" w:lineRule="auto" w:before="0" w:after="0"/>
        <w:jc w:val="left"/>
      </w:pPr>
      <w:r>
        <w:rPr>
          <w:rFonts w:ascii="Georgia" w:hAnsi="Georgia" w:eastAsia="Georgia" w:cs="Georgia"/>
          <w:sz w:val="22"/>
          <w:szCs w:val="22"/>
        </w:rPr>
        <w:t xml:space="preserve">Empowerment language was the more common dominant orientation. Most captions positioned the reader as able to act in the present. A smaller set oriented the reader toward a recovery or growth trajectory and was coded HOPE. A few captions carried both orientations at comparable strength and were coded BOTH. Table 2 summarizes the distribution for orientation only.</w:t>
      </w:r>
    </w:p>
    <w:p>
      <w:pPr>
        <w:spacing w:line="480" w:lineRule="auto" w:before="240" w:after="0"/>
        <w:jc w:val="left"/>
      </w:pPr>
      <w:r>
        <w:rPr>
          <w:rFonts w:ascii="Georgia" w:hAnsi="Georgia" w:eastAsia="Georgia" w:cs="Georgia"/>
          <w:b/>
          <w:sz w:val="22"/>
          <w:szCs w:val="22"/>
        </w:rPr>
        <w:t xml:space="preserve">Table 2</w:t>
      </w:r>
    </w:p>
    <w:p>
      <w:pPr>
        <w:spacing w:line="480" w:lineRule="auto" w:before="0" w:after="0"/>
        <w:jc w:val="left"/>
      </w:pPr>
      <w:r>
        <w:rPr>
          <w:rFonts w:ascii="Georgia" w:hAnsi="Georgia" w:eastAsia="Georgia" w:cs="Georgia"/>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Dominant orientation</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What it privileges</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Typical speech act</w:t>
            </w:r>
          </w:p>
        </w:tc>
      </w:tr>
      <w:tr>
        <w:tc>
          <w:tcPr>
            <w:tcW w:type="dxa" w:w="2769"/>
            <w:tcBorders>
              <w:top w:val="nil"/>
              <w:left w:val="nil"/>
              <w:bottom w:val="nil"/>
              <w:right w:val="nil"/>
            </w:tcBorders>
          </w:tcPr>
          <w:p>
            <w:pPr>
              <w:spacing w:line="480" w:lineRule="auto" w:before="40" w:after="40"/>
            </w:pPr>
            <w:r>
              <w:rPr>
                <w:rFonts w:ascii="Georgia" w:hAnsi="Georgia"/>
                <w:b w:val="0"/>
                <w:sz w:val="18"/>
              </w:rPr>
              <w:t>EMPOWERMENT</w:t>
            </w:r>
          </w:p>
        </w:tc>
        <w:tc>
          <w:tcPr>
            <w:tcW w:type="dxa" w:w="2769"/>
            <w:tcBorders>
              <w:top w:val="nil"/>
              <w:left w:val="nil"/>
              <w:bottom w:val="nil"/>
              <w:right w:val="nil"/>
            </w:tcBorders>
          </w:tcPr>
          <w:p>
            <w:pPr>
              <w:spacing w:line="480" w:lineRule="auto" w:before="40" w:after="40"/>
            </w:pPr>
            <w:r>
              <w:rPr>
                <w:rFonts w:ascii="Georgia" w:hAnsi="Georgia"/>
                <w:b w:val="0"/>
                <w:sz w:val="18"/>
              </w:rPr>
              <w:t>Present capacity to act or decide</w:t>
            </w:r>
          </w:p>
        </w:tc>
        <w:tc>
          <w:tcPr>
            <w:tcW w:type="dxa" w:w="2769"/>
            <w:tcBorders>
              <w:top w:val="nil"/>
              <w:left w:val="nil"/>
              <w:bottom w:val="nil"/>
              <w:right w:val="nil"/>
            </w:tcBorders>
          </w:tcPr>
          <w:p>
            <w:pPr>
              <w:spacing w:line="480" w:lineRule="auto" w:before="40" w:after="40"/>
            </w:pPr>
            <w:r>
              <w:rPr>
                <w:rFonts w:ascii="Georgia" w:hAnsi="Georgia"/>
                <w:b w:val="0"/>
                <w:sz w:val="18"/>
              </w:rPr>
              <w:t>You can or should act</w:t>
            </w:r>
          </w:p>
        </w:tc>
      </w:tr>
      <w:tr>
        <w:tc>
          <w:tcPr>
            <w:tcW w:type="dxa" w:w="2769"/>
            <w:tcBorders>
              <w:top w:val="nil"/>
              <w:left w:val="nil"/>
              <w:bottom w:val="nil"/>
              <w:right w:val="nil"/>
            </w:tcBorders>
          </w:tcPr>
          <w:p>
            <w:pPr>
              <w:spacing w:line="480" w:lineRule="auto" w:before="40" w:after="40"/>
            </w:pPr>
            <w:r>
              <w:rPr>
                <w:rFonts w:ascii="Georgia" w:hAnsi="Georgia"/>
                <w:b w:val="0"/>
                <w:sz w:val="18"/>
              </w:rPr>
              <w:t>HOPE</w:t>
            </w:r>
          </w:p>
        </w:tc>
        <w:tc>
          <w:tcPr>
            <w:tcW w:type="dxa" w:w="2769"/>
            <w:tcBorders>
              <w:top w:val="nil"/>
              <w:left w:val="nil"/>
              <w:bottom w:val="nil"/>
              <w:right w:val="nil"/>
            </w:tcBorders>
          </w:tcPr>
          <w:p>
            <w:pPr>
              <w:spacing w:line="480" w:lineRule="auto" w:before="40" w:after="40"/>
            </w:pPr>
            <w:r>
              <w:rPr>
                <w:rFonts w:ascii="Georgia" w:hAnsi="Georgia"/>
                <w:b w:val="0"/>
                <w:sz w:val="18"/>
              </w:rPr>
              <w:t>Future possibility or recovery trajectory</w:t>
            </w:r>
          </w:p>
        </w:tc>
        <w:tc>
          <w:tcPr>
            <w:tcW w:type="dxa" w:w="2769"/>
            <w:tcBorders>
              <w:top w:val="nil"/>
              <w:left w:val="nil"/>
              <w:bottom w:val="nil"/>
              <w:right w:val="nil"/>
            </w:tcBorders>
          </w:tcPr>
          <w:p>
            <w:pPr>
              <w:spacing w:line="480" w:lineRule="auto" w:before="40" w:after="40"/>
            </w:pPr>
            <w:r>
              <w:rPr>
                <w:rFonts w:ascii="Georgia" w:hAnsi="Georgia"/>
                <w:b w:val="0"/>
                <w:sz w:val="18"/>
              </w:rPr>
              <w:t>Things can or will get better</w:t>
            </w:r>
          </w:p>
        </w:tc>
      </w:tr>
      <w:tr>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BOTH</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Present action and recoverable future</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Act now and recovery remains open</w:t>
            </w:r>
          </w:p>
        </w:tc>
      </w:tr>
    </w:tbl>
    <w:p>
      <w:pPr>
        <w:ind w:firstLine="720"/>
        <w:spacing w:line="480" w:lineRule="auto" w:before="0" w:after="0"/>
        <w:jc w:val="left"/>
      </w:pPr>
      <w:r>
        <w:rPr>
          <w:rFonts w:ascii="Georgia" w:hAnsi="Georgia" w:eastAsia="Georgia" w:cs="Georgia"/>
          <w:sz w:val="22"/>
          <w:szCs w:val="22"/>
        </w:rPr>
        <w:t xml:space="preserve">The imbalance does not mean hope is marginal. Hope captions clustered in suicide-prevention and recovery-trajectory posts, where future-oriented reassurance carries a distinct interpersonal load. Empowerment captions clustered in stigma-challenge, help-seeking, and self-care posts, where the preferred move is to authorize present action. The coding scheme treats that division as a difference in discursive focus, not as a ranking of value. The pattern is consistent with observational work on Instagram mental health content that finds motivational and action-oriented formats highly visible (Koinig, 2022; Wu &amp; Hong, 2022), and with a Positive Discourse Analysis interest in how texts build capacity and solidarity (Martin, 2004).</w:t>
      </w:r>
    </w:p>
    <w:p>
      <w:pPr>
        <w:spacing w:line="480" w:lineRule="auto" w:before="240" w:after="0"/>
        <w:jc w:val="left"/>
      </w:pPr>
      <w:r>
        <w:rPr>
          <w:rFonts w:ascii="Georgia" w:hAnsi="Georgia" w:eastAsia="Georgia" w:cs="Georgia"/>
          <w:i/>
          <w:sz w:val="24"/>
          <w:szCs w:val="24"/>
        </w:rPr>
        <w:t xml:space="preserve">Lexical and grammatical features of empowerment language</w:t>
      </w:r>
    </w:p>
    <w:p>
      <w:pPr>
        <w:ind w:firstLine="720"/>
        <w:spacing w:line="480" w:lineRule="auto" w:before="0" w:after="0"/>
        <w:jc w:val="left"/>
      </w:pPr>
      <w:r>
        <w:rPr>
          <w:rFonts w:ascii="Georgia" w:hAnsi="Georgia" w:eastAsia="Georgia" w:cs="Georgia"/>
          <w:sz w:val="22"/>
          <w:szCs w:val="22"/>
        </w:rPr>
        <w:t xml:space="preserve">Empowerment captions positioned the reader as able to act in the present. Table 3 groups the main linguistic resources observed under this orientation.</w:t>
      </w:r>
    </w:p>
    <w:p>
      <w:pPr>
        <w:spacing w:line="480" w:lineRule="auto" w:before="240" w:after="0"/>
        <w:jc w:val="left"/>
      </w:pPr>
      <w:r>
        <w:rPr>
          <w:rFonts w:ascii="Georgia" w:hAnsi="Georgia" w:eastAsia="Georgia" w:cs="Georgia"/>
          <w:b/>
          <w:sz w:val="22"/>
          <w:szCs w:val="22"/>
        </w:rPr>
        <w:t xml:space="preserve">Table 3</w:t>
      </w:r>
    </w:p>
    <w:p>
      <w:pPr>
        <w:spacing w:line="480" w:lineRule="auto" w:before="0" w:after="0"/>
        <w:jc w:val="left"/>
      </w:pPr>
      <w:r>
        <w:rPr>
          <w:rFonts w:ascii="Georgia" w:hAnsi="Georgia" w:eastAsia="Georgia" w:cs="Georgia"/>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Resource</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Examples from the corpus</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Discursive work</w:t>
            </w:r>
          </w:p>
        </w:tc>
      </w:tr>
      <w:tr>
        <w:tc>
          <w:tcPr>
            <w:tcW w:type="dxa" w:w="2769"/>
            <w:tcBorders>
              <w:top w:val="nil"/>
              <w:left w:val="nil"/>
              <w:bottom w:val="nil"/>
              <w:right w:val="nil"/>
            </w:tcBorders>
          </w:tcPr>
          <w:p>
            <w:pPr>
              <w:spacing w:line="480" w:lineRule="auto" w:before="40" w:after="40"/>
            </w:pPr>
            <w:r>
              <w:rPr>
                <w:rFonts w:ascii="Georgia" w:hAnsi="Georgia"/>
                <w:b w:val="0"/>
                <w:sz w:val="18"/>
              </w:rPr>
              <w:t>Imperatives and directives</w:t>
            </w:r>
          </w:p>
        </w:tc>
        <w:tc>
          <w:tcPr>
            <w:tcW w:type="dxa" w:w="2769"/>
            <w:tcBorders>
              <w:top w:val="nil"/>
              <w:left w:val="nil"/>
              <w:bottom w:val="nil"/>
              <w:right w:val="nil"/>
            </w:tcBorders>
          </w:tcPr>
          <w:p>
            <w:pPr>
              <w:spacing w:line="480" w:lineRule="auto" w:before="40" w:after="40"/>
            </w:pPr>
            <w:r>
              <w:rPr>
                <w:rFonts w:ascii="Georgia" w:hAnsi="Georgia"/>
                <w:b w:val="0"/>
                <w:sz w:val="18"/>
              </w:rPr>
              <w:t>ask for help; take the first step; prioritize your mental health; break the stigma</w:t>
            </w:r>
          </w:p>
        </w:tc>
        <w:tc>
          <w:tcPr>
            <w:tcW w:type="dxa" w:w="2769"/>
            <w:tcBorders>
              <w:top w:val="nil"/>
              <w:left w:val="nil"/>
              <w:bottom w:val="nil"/>
              <w:right w:val="nil"/>
            </w:tcBorders>
          </w:tcPr>
          <w:p>
            <w:pPr>
              <w:spacing w:line="480" w:lineRule="auto" w:before="40" w:after="40"/>
            </w:pPr>
            <w:r>
              <w:rPr>
                <w:rFonts w:ascii="Georgia" w:hAnsi="Georgia"/>
                <w:b w:val="0"/>
                <w:sz w:val="18"/>
              </w:rPr>
              <w:t>Instructs present action</w:t>
            </w:r>
          </w:p>
        </w:tc>
      </w:tr>
      <w:tr>
        <w:tc>
          <w:tcPr>
            <w:tcW w:type="dxa" w:w="2769"/>
            <w:tcBorders>
              <w:top w:val="nil"/>
              <w:left w:val="nil"/>
              <w:bottom w:val="nil"/>
              <w:right w:val="nil"/>
            </w:tcBorders>
          </w:tcPr>
          <w:p>
            <w:pPr>
              <w:spacing w:line="480" w:lineRule="auto" w:before="40" w:after="40"/>
            </w:pPr>
            <w:r>
              <w:rPr>
                <w:rFonts w:ascii="Georgia" w:hAnsi="Georgia"/>
                <w:b w:val="0"/>
                <w:sz w:val="18"/>
              </w:rPr>
              <w:t>Permission statements</w:t>
            </w:r>
          </w:p>
        </w:tc>
        <w:tc>
          <w:tcPr>
            <w:tcW w:type="dxa" w:w="2769"/>
            <w:tcBorders>
              <w:top w:val="nil"/>
              <w:left w:val="nil"/>
              <w:bottom w:val="nil"/>
              <w:right w:val="nil"/>
            </w:tcBorders>
          </w:tcPr>
          <w:p>
            <w:pPr>
              <w:spacing w:line="480" w:lineRule="auto" w:before="40" w:after="40"/>
            </w:pPr>
            <w:r>
              <w:rPr>
                <w:rFonts w:ascii="Georgia" w:hAnsi="Georgia"/>
                <w:b w:val="0"/>
                <w:sz w:val="18"/>
              </w:rPr>
              <w:t>it is okay to ask for help; you do not have to be strong all the time</w:t>
            </w:r>
          </w:p>
        </w:tc>
        <w:tc>
          <w:tcPr>
            <w:tcW w:type="dxa" w:w="2769"/>
            <w:tcBorders>
              <w:top w:val="nil"/>
              <w:left w:val="nil"/>
              <w:bottom w:val="nil"/>
              <w:right w:val="nil"/>
            </w:tcBorders>
          </w:tcPr>
          <w:p>
            <w:pPr>
              <w:spacing w:line="480" w:lineRule="auto" w:before="40" w:after="40"/>
            </w:pPr>
            <w:r>
              <w:rPr>
                <w:rFonts w:ascii="Georgia" w:hAnsi="Georgia"/>
                <w:b w:val="0"/>
                <w:sz w:val="18"/>
              </w:rPr>
              <w:t>Authorizes vulnerability as legitimate</w:t>
            </w:r>
          </w:p>
        </w:tc>
      </w:tr>
      <w:tr>
        <w:tc>
          <w:tcPr>
            <w:tcW w:type="dxa" w:w="2769"/>
            <w:tcBorders>
              <w:top w:val="nil"/>
              <w:left w:val="nil"/>
              <w:bottom w:val="nil"/>
              <w:right w:val="nil"/>
            </w:tcBorders>
          </w:tcPr>
          <w:p>
            <w:pPr>
              <w:spacing w:line="480" w:lineRule="auto" w:before="40" w:after="40"/>
            </w:pPr>
            <w:r>
              <w:rPr>
                <w:rFonts w:ascii="Georgia" w:hAnsi="Georgia"/>
                <w:b w:val="0"/>
                <w:sz w:val="18"/>
              </w:rPr>
              <w:t>Collective pronouns</w:t>
            </w:r>
          </w:p>
        </w:tc>
        <w:tc>
          <w:tcPr>
            <w:tcW w:type="dxa" w:w="2769"/>
            <w:tcBorders>
              <w:top w:val="nil"/>
              <w:left w:val="nil"/>
              <w:bottom w:val="nil"/>
              <w:right w:val="nil"/>
            </w:tcBorders>
          </w:tcPr>
          <w:p>
            <w:pPr>
              <w:spacing w:line="480" w:lineRule="auto" w:before="40" w:after="40"/>
            </w:pPr>
            <w:r>
              <w:rPr>
                <w:rFonts w:ascii="Georgia" w:hAnsi="Georgia"/>
                <w:b w:val="0"/>
                <w:sz w:val="18"/>
              </w:rPr>
              <w:t>we have to; none of us have to take that action alone</w:t>
            </w:r>
          </w:p>
        </w:tc>
        <w:tc>
          <w:tcPr>
            <w:tcW w:type="dxa" w:w="2769"/>
            <w:tcBorders>
              <w:top w:val="nil"/>
              <w:left w:val="nil"/>
              <w:bottom w:val="nil"/>
              <w:right w:val="nil"/>
            </w:tcBorders>
          </w:tcPr>
          <w:p>
            <w:pPr>
              <w:spacing w:line="480" w:lineRule="auto" w:before="40" w:after="40"/>
            </w:pPr>
            <w:r>
              <w:rPr>
                <w:rFonts w:ascii="Georgia" w:hAnsi="Georgia"/>
                <w:b w:val="0"/>
                <w:sz w:val="18"/>
              </w:rPr>
              <w:t>Shares agency with an advocacy community</w:t>
            </w:r>
          </w:p>
        </w:tc>
      </w:tr>
      <w:tr>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Myth-busting frames</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debunking myths; correcting misconceptions about estrangement</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Clears beliefs that block support-seeking</w:t>
            </w:r>
          </w:p>
        </w:tc>
      </w:tr>
    </w:tbl>
    <w:p>
      <w:pPr>
        <w:ind w:firstLine="720"/>
        <w:spacing w:line="480" w:lineRule="auto" w:before="0" w:after="0"/>
        <w:jc w:val="left"/>
      </w:pPr>
      <w:r>
        <w:rPr>
          <w:rFonts w:ascii="Georgia" w:hAnsi="Georgia" w:eastAsia="Georgia" w:cs="Georgia"/>
          <w:sz w:val="22"/>
          <w:szCs w:val="22"/>
        </w:rPr>
        <w:t xml:space="preserve">These forms do more than give advice. Permission statements reframe help-seeking and vulnerability as legitimate action. Inclusive we builds solidarity rather than isolating the reader as a solitary recipient of advice, which matters for PDA’s link between positive discourse and solidarity (Martin, 2004). Myth-busting mixes declaratives that state a corrected fact with imperatives that tell the reader what to do with that fact. In framework terms, the reader is positioned as someone who can take charge now (Bartlett, 2012).</w:t>
      </w:r>
    </w:p>
    <w:p>
      <w:pPr>
        <w:spacing w:line="480" w:lineRule="auto" w:before="240" w:after="0"/>
        <w:jc w:val="left"/>
      </w:pPr>
      <w:r>
        <w:rPr>
          <w:rFonts w:ascii="Georgia" w:hAnsi="Georgia" w:eastAsia="Georgia" w:cs="Georgia"/>
          <w:i/>
          <w:sz w:val="24"/>
          <w:szCs w:val="24"/>
        </w:rPr>
        <w:t xml:space="preserve">Lexical and grammatical features of hope construction</w:t>
      </w:r>
    </w:p>
    <w:p>
      <w:pPr>
        <w:ind w:firstLine="720"/>
        <w:spacing w:line="480" w:lineRule="auto" w:before="0" w:after="0"/>
        <w:jc w:val="left"/>
      </w:pPr>
      <w:r>
        <w:rPr>
          <w:rFonts w:ascii="Georgia" w:hAnsi="Georgia" w:eastAsia="Georgia" w:cs="Georgia"/>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jc w:val="left"/>
      </w:pPr>
      <w:r>
        <w:rPr>
          <w:rFonts w:ascii="Georgia" w:hAnsi="Georgia" w:eastAsia="Georgia" w:cs="Georgia"/>
          <w:b/>
          <w:sz w:val="22"/>
          <w:szCs w:val="22"/>
        </w:rPr>
        <w:t xml:space="preserve">Table 4</w:t>
      </w:r>
    </w:p>
    <w:p>
      <w:pPr>
        <w:spacing w:line="480" w:lineRule="auto" w:before="0" w:after="0"/>
        <w:jc w:val="left"/>
      </w:pPr>
      <w:r>
        <w:rPr>
          <w:rFonts w:ascii="Georgia" w:hAnsi="Georgia" w:eastAsia="Georgia" w:cs="Georgia"/>
          <w:sz w:val="22"/>
          <w:szCs w:val="22"/>
        </w:rPr>
        <w:t xml:space="preserve">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Resource</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Examples from the corpus</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Discursive work</w:t>
            </w:r>
          </w:p>
        </w:tc>
      </w:tr>
      <w:tr>
        <w:tc>
          <w:tcPr>
            <w:tcW w:type="dxa" w:w="2769"/>
            <w:tcBorders>
              <w:top w:val="nil"/>
              <w:left w:val="nil"/>
              <w:bottom w:val="nil"/>
              <w:right w:val="nil"/>
            </w:tcBorders>
          </w:tcPr>
          <w:p>
            <w:pPr>
              <w:spacing w:line="480" w:lineRule="auto" w:before="40" w:after="40"/>
            </w:pPr>
            <w:r>
              <w:rPr>
                <w:rFonts w:ascii="Georgia" w:hAnsi="Georgia"/>
                <w:b w:val="0"/>
                <w:sz w:val="18"/>
              </w:rPr>
              <w:t>Incremental progress lexis</w:t>
            </w:r>
          </w:p>
        </w:tc>
        <w:tc>
          <w:tcPr>
            <w:tcW w:type="dxa" w:w="2769"/>
            <w:tcBorders>
              <w:top w:val="nil"/>
              <w:left w:val="nil"/>
              <w:bottom w:val="nil"/>
              <w:right w:val="nil"/>
            </w:tcBorders>
          </w:tcPr>
          <w:p>
            <w:pPr>
              <w:spacing w:line="480" w:lineRule="auto" w:before="40" w:after="40"/>
            </w:pPr>
            <w:r>
              <w:rPr>
                <w:rFonts w:ascii="Georgia" w:hAnsi="Georgia"/>
                <w:b w:val="0"/>
                <w:sz w:val="18"/>
              </w:rPr>
              <w:t>small steps; little victories; progress and growth; not perfection</w:t>
            </w:r>
          </w:p>
        </w:tc>
        <w:tc>
          <w:tcPr>
            <w:tcW w:type="dxa" w:w="2769"/>
            <w:tcBorders>
              <w:top w:val="nil"/>
              <w:left w:val="nil"/>
              <w:bottom w:val="nil"/>
              <w:right w:val="nil"/>
            </w:tcBorders>
          </w:tcPr>
          <w:p>
            <w:pPr>
              <w:spacing w:line="480" w:lineRule="auto" w:before="40" w:after="40"/>
            </w:pPr>
            <w:r>
              <w:rPr>
                <w:rFonts w:ascii="Georgia" w:hAnsi="Georgia"/>
                <w:b w:val="0"/>
                <w:sz w:val="18"/>
              </w:rPr>
              <w:t>Makes recovery thinkable in stages</w:t>
            </w:r>
          </w:p>
        </w:tc>
      </w:tr>
      <w:tr>
        <w:tc>
          <w:tcPr>
            <w:tcW w:type="dxa" w:w="2769"/>
            <w:tcBorders>
              <w:top w:val="nil"/>
              <w:left w:val="nil"/>
              <w:bottom w:val="nil"/>
              <w:right w:val="nil"/>
            </w:tcBorders>
          </w:tcPr>
          <w:p>
            <w:pPr>
              <w:spacing w:line="480" w:lineRule="auto" w:before="40" w:after="40"/>
            </w:pPr>
            <w:r>
              <w:rPr>
                <w:rFonts w:ascii="Georgia" w:hAnsi="Georgia"/>
                <w:b w:val="0"/>
                <w:sz w:val="18"/>
              </w:rPr>
              <w:t>Future-oriented modality and prediction</w:t>
            </w:r>
          </w:p>
        </w:tc>
        <w:tc>
          <w:tcPr>
            <w:tcW w:type="dxa" w:w="2769"/>
            <w:tcBorders>
              <w:top w:val="nil"/>
              <w:left w:val="nil"/>
              <w:bottom w:val="nil"/>
              <w:right w:val="nil"/>
            </w:tcBorders>
          </w:tcPr>
          <w:p>
            <w:pPr>
              <w:spacing w:line="480" w:lineRule="auto" w:before="40" w:after="40"/>
            </w:pPr>
            <w:r>
              <w:rPr>
                <w:rFonts w:ascii="Georgia" w:hAnsi="Georgia"/>
                <w:b w:val="0"/>
                <w:sz w:val="18"/>
              </w:rPr>
              <w:t>you can get through this; you will be ready for it when it comes</w:t>
            </w:r>
          </w:p>
        </w:tc>
        <w:tc>
          <w:tcPr>
            <w:tcW w:type="dxa" w:w="2769"/>
            <w:tcBorders>
              <w:top w:val="nil"/>
              <w:left w:val="nil"/>
              <w:bottom w:val="nil"/>
              <w:right w:val="nil"/>
            </w:tcBorders>
          </w:tcPr>
          <w:p>
            <w:pPr>
              <w:spacing w:line="480" w:lineRule="auto" w:before="40" w:after="40"/>
            </w:pPr>
            <w:r>
              <w:rPr>
                <w:rFonts w:ascii="Georgia" w:hAnsi="Georgia"/>
                <w:b w:val="0"/>
                <w:sz w:val="18"/>
              </w:rPr>
              <w:t>Projects a survivable future</w:t>
            </w:r>
          </w:p>
        </w:tc>
      </w:tr>
      <w:tr>
        <w:tc>
          <w:tcPr>
            <w:tcW w:type="dxa" w:w="2769"/>
            <w:tcBorders>
              <w:top w:val="nil"/>
              <w:left w:val="nil"/>
              <w:bottom w:val="nil"/>
              <w:right w:val="nil"/>
            </w:tcBorders>
          </w:tcPr>
          <w:p>
            <w:pPr>
              <w:spacing w:line="480" w:lineRule="auto" w:before="40" w:after="40"/>
            </w:pPr>
            <w:r>
              <w:rPr>
                <w:rFonts w:ascii="Georgia" w:hAnsi="Georgia"/>
                <w:b w:val="0"/>
                <w:sz w:val="18"/>
              </w:rPr>
              <w:t>Life-worth declarations</w:t>
            </w:r>
          </w:p>
        </w:tc>
        <w:tc>
          <w:tcPr>
            <w:tcW w:type="dxa" w:w="2769"/>
            <w:tcBorders>
              <w:top w:val="nil"/>
              <w:left w:val="nil"/>
              <w:bottom w:val="nil"/>
              <w:right w:val="nil"/>
            </w:tcBorders>
          </w:tcPr>
          <w:p>
            <w:pPr>
              <w:spacing w:line="480" w:lineRule="auto" w:before="40" w:after="40"/>
            </w:pPr>
            <w:r>
              <w:rPr>
                <w:rFonts w:ascii="Georgia" w:hAnsi="Georgia"/>
                <w:b w:val="0"/>
                <w:sz w:val="18"/>
              </w:rPr>
              <w:t>this life is worth living; thank you for staying</w:t>
            </w:r>
          </w:p>
        </w:tc>
        <w:tc>
          <w:tcPr>
            <w:tcW w:type="dxa" w:w="2769"/>
            <w:tcBorders>
              <w:top w:val="nil"/>
              <w:left w:val="nil"/>
              <w:bottom w:val="nil"/>
              <w:right w:val="nil"/>
            </w:tcBorders>
          </w:tcPr>
          <w:p>
            <w:pPr>
              <w:spacing w:line="480" w:lineRule="auto" w:before="40" w:after="40"/>
            </w:pPr>
            <w:r>
              <w:rPr>
                <w:rFonts w:ascii="Georgia" w:hAnsi="Georgia"/>
                <w:b w:val="0"/>
                <w:sz w:val="18"/>
              </w:rPr>
              <w:t>Affirms value of continuing in crisis contexts</w:t>
            </w:r>
          </w:p>
        </w:tc>
      </w:tr>
      <w:tr>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Temporal and aspectual framing</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step by step; when it comes; seasonal change metaphors</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Stretches the event line beyond the moment of reading</w:t>
            </w:r>
          </w:p>
        </w:tc>
      </w:tr>
    </w:tbl>
    <w:p>
      <w:pPr>
        <w:ind w:firstLine="720"/>
        <w:spacing w:line="480" w:lineRule="auto" w:before="0" w:after="0"/>
        <w:jc w:val="left"/>
      </w:pPr>
      <w:r>
        <w:rPr>
          <w:rFonts w:ascii="Georgia" w:hAnsi="Georgia" w:eastAsia="Georgia" w:cs="Georgia"/>
          <w:sz w:val="22"/>
          <w:szCs w:val="22"/>
        </w:rPr>
        <w:t xml:space="preserve">Grammatically, hope captions relied less on bare imperatives and more on declarative reassurances and predictive clauses. The reader was positioned as someone who can look forward. That orientation aligns with work that treats hopeful mental health content as a distinct communicative resource on Instagram, not merely as generic positivity (Beelen &amp; Karsay, 2024). It also answers the caution in PDA scholarship that positive discourse must be described in specific linguistic terms rather than assumed as a single mood (Macgilchrist, 2007; Lecompte-Van Poucke, 2022).</w:t>
      </w:r>
    </w:p>
    <w:p>
      <w:pPr>
        <w:spacing w:line="480" w:lineRule="auto" w:before="240" w:after="0"/>
        <w:jc w:val="left"/>
      </w:pPr>
      <w:r>
        <w:rPr>
          <w:rFonts w:ascii="Georgia" w:hAnsi="Georgia" w:eastAsia="Georgia" w:cs="Georgia"/>
          <w:i/>
          <w:sz w:val="24"/>
          <w:szCs w:val="24"/>
        </w:rPr>
        <w:t xml:space="preserve">Blended captions</w:t>
      </w:r>
    </w:p>
    <w:p>
      <w:pPr>
        <w:ind w:firstLine="720"/>
        <w:spacing w:line="480" w:lineRule="auto" w:before="0" w:after="0"/>
        <w:jc w:val="left"/>
      </w:pPr>
      <w:r>
        <w:rPr>
          <w:rFonts w:ascii="Georgia" w:hAnsi="Georgia" w:eastAsia="Georgia" w:cs="Georgia"/>
          <w:sz w:val="22"/>
          <w:szCs w:val="22"/>
        </w:rPr>
        <w:t xml:space="preserve">A small number of captions were coded BOTH because hope and empowerment signals carried comparable weight. One paired an anxiety-loop reframing technique (shifting what if toward even if or what is within control) with the predictive reassurance you can get through this. Another paired the empowerment claim that seeking support is not weakness with the hope phrase a step toward healing. Blended cases matter analytically. They show that the two orientations are not always mutually exclusive in short-form advocacy text, and that Stage 2 of the coding procedure must weigh speech-act force and clause position rather than count keywords alone.</w:t>
      </w:r>
    </w:p>
    <w:p>
      <w:pPr>
        <w:spacing w:line="480" w:lineRule="auto" w:before="240" w:after="0"/>
        <w:jc w:val="left"/>
      </w:pPr>
      <w:r>
        <w:rPr>
          <w:rFonts w:ascii="Georgia" w:hAnsi="Georgia" w:eastAsia="Georgia" w:cs="Georgia"/>
          <w:i/>
          <w:sz w:val="24"/>
          <w:szCs w:val="24"/>
        </w:rPr>
        <w:t xml:space="preserve">Part II: Linguistic Features of Comment Responses</w:t>
      </w:r>
    </w:p>
    <w:p>
      <w:pPr>
        <w:ind w:firstLine="720"/>
        <w:spacing w:line="480" w:lineRule="auto" w:before="0" w:after="0"/>
        <w:jc w:val="left"/>
      </w:pPr>
      <w:r>
        <w:rPr>
          <w:rFonts w:ascii="Georgia" w:hAnsi="Georgia" w:eastAsia="Georgia" w:cs="Georgia"/>
          <w:sz w:val="22"/>
          <w:szCs w:val="22"/>
        </w:rPr>
        <w:t xml:space="preserve">Part II answers Research Question 2: what linguistic features characterize public comment responses to hope- and empowerment-oriented captions. Comment coding followed Appendix B. Eligible comments were those written in English, long enough for analysis, and not limited to emoji, tags, or nested replies. Comments that offered encouragement, validation, or empathy without a personal story were coded SUPPORTIVE LEXICON. Comments that shared a first-person mental health experience or recovery trajectory were coded PERSONAL NARRATIVE.</w:t>
      </w:r>
    </w:p>
    <w:p>
      <w:pPr>
        <w:spacing w:line="480" w:lineRule="auto" w:before="240" w:after="0"/>
        <w:jc w:val="left"/>
      </w:pPr>
      <w:r>
        <w:rPr>
          <w:rFonts w:ascii="Georgia" w:hAnsi="Georgia" w:eastAsia="Georgia" w:cs="Georgia"/>
          <w:i/>
          <w:sz w:val="24"/>
          <w:szCs w:val="24"/>
        </w:rPr>
        <w:t xml:space="preserve">Comment response types in the corpus</w:t>
      </w:r>
    </w:p>
    <w:p>
      <w:pPr>
        <w:ind w:firstLine="720"/>
        <w:spacing w:line="480" w:lineRule="auto" w:before="0" w:after="0"/>
        <w:jc w:val="left"/>
      </w:pPr>
      <w:r>
        <w:rPr>
          <w:rFonts w:ascii="Georgia" w:hAnsi="Georgia" w:eastAsia="Georgia" w:cs="Georgia"/>
          <w:sz w:val="22"/>
          <w:szCs w:val="22"/>
        </w:rPr>
        <w:t xml:space="preserve">Supportive lexicon was the more common response type among eligible comments. Personal narrative was less frequent but still clearly present. Table 5 sets the two types side by side.</w:t>
      </w:r>
    </w:p>
    <w:p>
      <w:pPr>
        <w:spacing w:line="480" w:lineRule="auto" w:before="240" w:after="0"/>
        <w:jc w:val="left"/>
      </w:pPr>
      <w:r>
        <w:rPr>
          <w:rFonts w:ascii="Georgia" w:hAnsi="Georgia" w:eastAsia="Georgia" w:cs="Georgia"/>
          <w:b/>
          <w:sz w:val="22"/>
          <w:szCs w:val="22"/>
        </w:rPr>
        <w:t xml:space="preserve">Table 5</w:t>
      </w:r>
    </w:p>
    <w:p>
      <w:pPr>
        <w:spacing w:line="480" w:lineRule="auto" w:before="0" w:after="0"/>
        <w:jc w:val="left"/>
      </w:pPr>
      <w:r>
        <w:rPr>
          <w:rFonts w:ascii="Georgia" w:hAnsi="Georgia" w:eastAsia="Georgia" w:cs="Georgia"/>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Response type</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Main linguistic markers</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Typical function in the thread</w:t>
            </w:r>
          </w:p>
        </w:tc>
      </w:tr>
      <w:tr>
        <w:tc>
          <w:tcPr>
            <w:tcW w:type="dxa" w:w="2769"/>
            <w:tcBorders>
              <w:top w:val="nil"/>
              <w:left w:val="nil"/>
              <w:bottom w:val="nil"/>
              <w:right w:val="nil"/>
            </w:tcBorders>
          </w:tcPr>
          <w:p>
            <w:pPr>
              <w:spacing w:line="480" w:lineRule="auto" w:before="40" w:after="40"/>
            </w:pPr>
            <w:r>
              <w:rPr>
                <w:rFonts w:ascii="Georgia" w:hAnsi="Georgia"/>
                <w:b w:val="0"/>
                <w:sz w:val="18"/>
              </w:rPr>
              <w:t>Supportive lexicon</w:t>
            </w:r>
          </w:p>
        </w:tc>
        <w:tc>
          <w:tcPr>
            <w:tcW w:type="dxa" w:w="2769"/>
            <w:tcBorders>
              <w:top w:val="nil"/>
              <w:left w:val="nil"/>
              <w:bottom w:val="nil"/>
              <w:right w:val="nil"/>
            </w:tcBorders>
          </w:tcPr>
          <w:p>
            <w:pPr>
              <w:spacing w:line="480" w:lineRule="auto" w:before="40" w:after="40"/>
            </w:pPr>
            <w:r>
              <w:rPr>
                <w:rFonts w:ascii="Georgia" w:hAnsi="Georgia"/>
                <w:b w:val="0"/>
                <w:sz w:val="18"/>
              </w:rPr>
              <w:t>Empathy phrases; validation; praise; short affective forms (you are so loved; pls stay with us)</w:t>
            </w:r>
          </w:p>
        </w:tc>
        <w:tc>
          <w:tcPr>
            <w:tcW w:type="dxa" w:w="2769"/>
            <w:tcBorders>
              <w:top w:val="nil"/>
              <w:left w:val="nil"/>
              <w:bottom w:val="nil"/>
              <w:right w:val="nil"/>
            </w:tcBorders>
          </w:tcPr>
          <w:p>
            <w:pPr>
              <w:spacing w:line="480" w:lineRule="auto" w:before="40" w:after="40"/>
            </w:pPr>
            <w:r>
              <w:rPr>
                <w:rFonts w:ascii="Georgia" w:hAnsi="Georgia"/>
                <w:b w:val="0"/>
                <w:sz w:val="18"/>
              </w:rPr>
              <w:t>Ratifies the caption stance; offers encouragement without a personal story</w:t>
            </w:r>
          </w:p>
        </w:tc>
      </w:tr>
      <w:tr>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Personal narrative framing</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First-person past or present (I felt; I went through); diagnosis or crisis naming; recovery timeline</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Brings lived experience into the public thread; realizes network support</w:t>
            </w:r>
          </w:p>
        </w:tc>
      </w:tr>
    </w:tbl>
    <w:p>
      <w:pPr>
        <w:ind w:firstLine="720"/>
        <w:spacing w:line="480" w:lineRule="auto" w:before="0" w:after="0"/>
        <w:jc w:val="left"/>
      </w:pPr>
      <w:r>
        <w:rPr>
          <w:rFonts w:ascii="Georgia" w:hAnsi="Georgia" w:eastAsia="Georgia" w:cs="Georgia"/>
          <w:sz w:val="22"/>
          <w:szCs w:val="22"/>
        </w:rPr>
        <w:t xml:space="preserve">The preference for supportive lexicon is consistent with Chang (2009), who found emotional and esteem support highly active in online mental health peer spaces, and with later social media support work that treats validation and encouragement as default public replies (Myrick et al., 2015; Kim et al., 2023). Personal narrative remains important because it shows that these comment sections are not only cheer spaces. They also host lived-experience disclosure.</w:t>
      </w:r>
    </w:p>
    <w:p>
      <w:pPr>
        <w:spacing w:line="480" w:lineRule="auto" w:before="240" w:after="0"/>
        <w:jc w:val="left"/>
      </w:pPr>
      <w:r>
        <w:rPr>
          <w:rFonts w:ascii="Georgia" w:hAnsi="Georgia" w:eastAsia="Georgia" w:cs="Georgia"/>
          <w:i/>
          <w:sz w:val="24"/>
          <w:szCs w:val="24"/>
        </w:rPr>
        <w:t xml:space="preserve">How supportive comments take up caption language</w:t>
      </w:r>
    </w:p>
    <w:p>
      <w:pPr>
        <w:ind w:firstLine="720"/>
        <w:spacing w:line="480" w:lineRule="auto" w:before="0" w:after="0"/>
        <w:jc w:val="left"/>
      </w:pPr>
      <w:r>
        <w:rPr>
          <w:rFonts w:ascii="Georgia" w:hAnsi="Georgia" w:eastAsia="Georgia" w:cs="Georgia"/>
          <w:sz w:val="22"/>
          <w:szCs w:val="22"/>
        </w:rPr>
        <w:t xml:space="preserve">Supportive comments often mirrored caption language. Under empowerment captions they restated agency, as in asking for help is courage and healing happens in connection. Under hope captions they amplified trajectory language, as in small steps everyday, source of hope, and growing through what we go through. That mirroring is a linguistic solidarity move. Commenters take up the caption’s preferred reader position and return it in shortened form (Martin, 2004). Short affective forms were especially common under crisis-oriented hope posts. Informational support was rare in the eligible set, which matches the study’s decision to keep primary comment coding on supportive lexicon and personal narrative.</w:t>
      </w:r>
    </w:p>
    <w:p>
      <w:pPr>
        <w:spacing w:line="480" w:lineRule="auto" w:before="240" w:after="0"/>
        <w:jc w:val="left"/>
      </w:pPr>
      <w:r>
        <w:rPr>
          <w:rFonts w:ascii="Georgia" w:hAnsi="Georgia" w:eastAsia="Georgia" w:cs="Georgia"/>
          <w:i/>
          <w:sz w:val="24"/>
          <w:szCs w:val="24"/>
        </w:rPr>
        <w:t xml:space="preserve">How personal narrative comments work</w:t>
      </w:r>
    </w:p>
    <w:p>
      <w:pPr>
        <w:ind w:firstLine="720"/>
        <w:spacing w:line="480" w:lineRule="auto" w:before="0" w:after="0"/>
        <w:jc w:val="left"/>
      </w:pPr>
      <w:r>
        <w:rPr>
          <w:rFonts w:ascii="Georgia" w:hAnsi="Georgia" w:eastAsia="Georgia" w:cs="Georgia"/>
          <w:sz w:val="22"/>
          <w:szCs w:val="22"/>
        </w:rPr>
        <w:t xml:space="preserve">Personal narrative comments typically used first-person past or present forms such as I felt, I went through, and I have been having this feelings. Some named a diagnosis, a crisis event, or an ongoing struggle. A subset linked the story back to the caption theme, for example by describing a spouse’s schizophrenia under a World Schizophrenia Day post or by recounting a near-death experience under a suicide-prevention caption. Those links turn the comment into a second voice in the same discursive event.</w:t>
      </w:r>
    </w:p>
    <w:p>
      <w:pPr>
        <w:ind w:firstLine="720"/>
        <w:spacing w:line="480" w:lineRule="auto" w:before="0" w:after="0"/>
        <w:jc w:val="left"/>
      </w:pPr>
      <w:r>
        <w:rPr>
          <w:rFonts w:ascii="Georgia" w:hAnsi="Georgia" w:eastAsia="Georgia" w:cs="Georgia"/>
          <w:sz w:val="22"/>
          <w:szCs w:val="22"/>
        </w:rPr>
        <w:t xml:space="preserve">A few narratives expressed unresolved distress rather than recovery. Those comments still count as personal narrative framing under Appendix B because the commenter shares lived experience. Network support in Chang’s (2009) original sense is realized here through first-person disclosure rather than through explicit group invitations. Related work on online social support notes that narrative posts do relational work by making private struggle publicly legible (Yip, 2024).</w:t>
      </w:r>
    </w:p>
    <w:p>
      <w:pPr>
        <w:spacing w:line="480" w:lineRule="auto" w:before="240" w:after="0"/>
        <w:jc w:val="left"/>
      </w:pPr>
      <w:r>
        <w:rPr>
          <w:rFonts w:ascii="Georgia" w:hAnsi="Georgia" w:eastAsia="Georgia" w:cs="Georgia"/>
          <w:i/>
          <w:sz w:val="24"/>
          <w:szCs w:val="24"/>
        </w:rPr>
        <w:t xml:space="preserve">Part III: Collective Construction of Positive Mental Health Meanings</w:t>
      </w:r>
    </w:p>
    <w:p>
      <w:pPr>
        <w:ind w:firstLine="720"/>
        <w:spacing w:line="480" w:lineRule="auto" w:before="0" w:after="0"/>
        <w:jc w:val="left"/>
      </w:pPr>
      <w:r>
        <w:rPr>
          <w:rFonts w:ascii="Georgia" w:hAnsi="Georgia" w:eastAsia="Georgia" w:cs="Georgia"/>
          <w:sz w:val="22"/>
          <w:szCs w:val="22"/>
        </w:rPr>
        <w:t xml:space="preserve">Part III answers Research Question 3: what the caption and comment patterns together reveal about how positive mental health meanings are discursively constructed in Instagram advocacy spaces. The unit of interest is the joint orientation produced when both levels are read together.</w:t>
      </w:r>
    </w:p>
    <w:p>
      <w:pPr>
        <w:spacing w:line="480" w:lineRule="auto" w:before="240" w:after="0"/>
        <w:jc w:val="left"/>
      </w:pPr>
      <w:r>
        <w:rPr>
          <w:rFonts w:ascii="Georgia" w:hAnsi="Georgia" w:eastAsia="Georgia" w:cs="Georgia"/>
          <w:i/>
          <w:sz w:val="24"/>
          <w:szCs w:val="24"/>
        </w:rPr>
        <w:t xml:space="preserve">How caption orientation and comment type meet</w:t>
      </w:r>
    </w:p>
    <w:p>
      <w:pPr>
        <w:ind w:firstLine="720"/>
        <w:spacing w:line="480" w:lineRule="auto" w:before="0" w:after="0"/>
        <w:jc w:val="left"/>
      </w:pPr>
      <w:r>
        <w:rPr>
          <w:rFonts w:ascii="Georgia" w:hAnsi="Georgia" w:eastAsia="Georgia" w:cs="Georgia"/>
          <w:sz w:val="22"/>
          <w:szCs w:val="22"/>
        </w:rPr>
        <w:t xml:space="preserve">Supportive lexicon appeared under all caption orientations. It was especially common under empowerment captions. Personal narrative appeared under both hope and empowerment captions but was relatively more noticeable under hope captions in this corpus. Table 6 presents the cross-level pattern in qualitative terms.</w:t>
      </w:r>
    </w:p>
    <w:p>
      <w:pPr>
        <w:spacing w:line="480" w:lineRule="auto" w:before="240" w:after="0"/>
        <w:jc w:val="left"/>
      </w:pPr>
      <w:r>
        <w:rPr>
          <w:rFonts w:ascii="Georgia" w:hAnsi="Georgia" w:eastAsia="Georgia" w:cs="Georgia"/>
          <w:b/>
          <w:sz w:val="22"/>
          <w:szCs w:val="22"/>
        </w:rPr>
        <w:t xml:space="preserve">Table 6</w:t>
      </w:r>
    </w:p>
    <w:p>
      <w:pPr>
        <w:spacing w:line="480" w:lineRule="auto" w:before="0" w:after="0"/>
        <w:jc w:val="left"/>
      </w:pPr>
      <w:r>
        <w:rPr>
          <w:rFonts w:ascii="Georgia" w:hAnsi="Georgia" w:eastAsia="Georgia" w:cs="Georgia"/>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Caption orientation</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Comment pattern observed</w:t>
            </w:r>
          </w:p>
        </w:tc>
        <w:tc>
          <w:tcPr>
            <w:tcW w:type="dxa" w:w="2769"/>
            <w:tcBorders>
              <w:top w:val="single" w:sz="18" w:space="0" w:color="000000"/>
              <w:left w:val="nil"/>
              <w:bottom w:val="single" w:sz="4" w:space="0" w:color="000000"/>
              <w:right w:val="nil"/>
            </w:tcBorders>
          </w:tcPr>
          <w:p>
            <w:pPr>
              <w:spacing w:line="480" w:lineRule="auto" w:before="40" w:after="40"/>
            </w:pPr>
            <w:r>
              <w:rPr>
                <w:rFonts w:ascii="Georgia" w:hAnsi="Georgia"/>
                <w:b/>
                <w:sz w:val="18"/>
              </w:rPr>
              <w:t>Joint discursive effect</w:t>
            </w:r>
          </w:p>
        </w:tc>
      </w:tr>
      <w:tr>
        <w:tc>
          <w:tcPr>
            <w:tcW w:type="dxa" w:w="2769"/>
            <w:tcBorders>
              <w:top w:val="nil"/>
              <w:left w:val="nil"/>
              <w:bottom w:val="nil"/>
              <w:right w:val="nil"/>
            </w:tcBorders>
          </w:tcPr>
          <w:p>
            <w:pPr>
              <w:spacing w:line="480" w:lineRule="auto" w:before="40" w:after="40"/>
            </w:pPr>
            <w:r>
              <w:rPr>
                <w:rFonts w:ascii="Georgia" w:hAnsi="Georgia"/>
                <w:b w:val="0"/>
                <w:sz w:val="18"/>
              </w:rPr>
              <w:t>EMPOWERMENT</w:t>
            </w:r>
          </w:p>
        </w:tc>
        <w:tc>
          <w:tcPr>
            <w:tcW w:type="dxa" w:w="2769"/>
            <w:tcBorders>
              <w:top w:val="nil"/>
              <w:left w:val="nil"/>
              <w:bottom w:val="nil"/>
              <w:right w:val="nil"/>
            </w:tcBorders>
          </w:tcPr>
          <w:p>
            <w:pPr>
              <w:spacing w:line="480" w:lineRule="auto" w:before="40" w:after="40"/>
            </w:pPr>
            <w:r>
              <w:rPr>
                <w:rFonts w:ascii="Georgia" w:hAnsi="Georgia"/>
                <w:b w:val="0"/>
                <w:sz w:val="18"/>
              </w:rPr>
              <w:t>Mostly supportive lexicon; some personal narrative</w:t>
            </w:r>
          </w:p>
        </w:tc>
        <w:tc>
          <w:tcPr>
            <w:tcW w:type="dxa" w:w="2769"/>
            <w:tcBorders>
              <w:top w:val="nil"/>
              <w:left w:val="nil"/>
              <w:bottom w:val="nil"/>
              <w:right w:val="nil"/>
            </w:tcBorders>
          </w:tcPr>
          <w:p>
            <w:pPr>
              <w:spacing w:line="480" w:lineRule="auto" w:before="40" w:after="40"/>
            </w:pPr>
            <w:r>
              <w:rPr>
                <w:rFonts w:ascii="Georgia" w:hAnsi="Georgia"/>
                <w:b w:val="0"/>
                <w:sz w:val="18"/>
              </w:rPr>
              <w:t>Agency in the caption is ratified as encouragement in the thread</w:t>
            </w:r>
          </w:p>
        </w:tc>
      </w:tr>
      <w:tr>
        <w:tc>
          <w:tcPr>
            <w:tcW w:type="dxa" w:w="2769"/>
            <w:tcBorders>
              <w:top w:val="nil"/>
              <w:left w:val="nil"/>
              <w:bottom w:val="nil"/>
              <w:right w:val="nil"/>
            </w:tcBorders>
          </w:tcPr>
          <w:p>
            <w:pPr>
              <w:spacing w:line="480" w:lineRule="auto" w:before="40" w:after="40"/>
            </w:pPr>
            <w:r>
              <w:rPr>
                <w:rFonts w:ascii="Georgia" w:hAnsi="Georgia"/>
                <w:b w:val="0"/>
                <w:sz w:val="18"/>
              </w:rPr>
              <w:t>HOPE</w:t>
            </w:r>
          </w:p>
        </w:tc>
        <w:tc>
          <w:tcPr>
            <w:tcW w:type="dxa" w:w="2769"/>
            <w:tcBorders>
              <w:top w:val="nil"/>
              <w:left w:val="nil"/>
              <w:bottom w:val="nil"/>
              <w:right w:val="nil"/>
            </w:tcBorders>
          </w:tcPr>
          <w:p>
            <w:pPr>
              <w:spacing w:line="480" w:lineRule="auto" w:before="40" w:after="40"/>
            </w:pPr>
            <w:r>
              <w:rPr>
                <w:rFonts w:ascii="Georgia" w:hAnsi="Georgia"/>
                <w:b w:val="0"/>
                <w:sz w:val="18"/>
              </w:rPr>
              <w:t>Supportive lexicon plus a higher share of personal narrative</w:t>
            </w:r>
          </w:p>
        </w:tc>
        <w:tc>
          <w:tcPr>
            <w:tcW w:type="dxa" w:w="2769"/>
            <w:tcBorders>
              <w:top w:val="nil"/>
              <w:left w:val="nil"/>
              <w:bottom w:val="nil"/>
              <w:right w:val="nil"/>
            </w:tcBorders>
          </w:tcPr>
          <w:p>
            <w:pPr>
              <w:spacing w:line="480" w:lineRule="auto" w:before="40" w:after="40"/>
            </w:pPr>
            <w:r>
              <w:rPr>
                <w:rFonts w:ascii="Georgia" w:hAnsi="Georgia"/>
                <w:b w:val="0"/>
                <w:sz w:val="18"/>
              </w:rPr>
              <w:t>Trajectory talk opens space for both reassurance and disclosure</w:t>
            </w:r>
          </w:p>
        </w:tc>
      </w:tr>
      <w:tr>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BOTH</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Mostly supportive lexicon</w:t>
            </w:r>
          </w:p>
        </w:tc>
        <w:tc>
          <w:tcPr>
            <w:tcW w:type="dxa" w:w="2769"/>
            <w:tcBorders>
              <w:top w:val="nil"/>
              <w:left w:val="nil"/>
              <w:bottom w:val="single" w:sz="18" w:space="0" w:color="000000"/>
              <w:right w:val="nil"/>
            </w:tcBorders>
          </w:tcPr>
          <w:p>
            <w:pPr>
              <w:spacing w:line="480" w:lineRule="auto" w:before="40" w:after="40"/>
            </w:pPr>
            <w:r>
              <w:rPr>
                <w:rFonts w:ascii="Georgia" w:hAnsi="Georgia"/>
                <w:b w:val="0"/>
                <w:sz w:val="18"/>
              </w:rPr>
              <w:t>Mixed caption stance is met mainly with validation</w:t>
            </w:r>
          </w:p>
        </w:tc>
      </w:tr>
    </w:tbl>
    <w:p>
      <w:pPr>
        <w:ind w:firstLine="720"/>
        <w:spacing w:line="480" w:lineRule="auto" w:before="0" w:after="0"/>
        <w:jc w:val="left"/>
      </w:pPr>
      <w: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jc w:val="left"/>
      </w:pPr>
      <w:r>
        <w:rPr>
          <w:rFonts w:ascii="Georgia" w:hAnsi="Georgia" w:eastAsia="Georgia" w:cs="Georgia"/>
          <w:i/>
          <w:sz w:val="24"/>
          <w:szCs w:val="24"/>
        </w:rPr>
        <w:t xml:space="preserve">What the joint pattern means in PDA terms</w:t>
      </w:r>
    </w:p>
    <w:p>
      <w:pPr>
        <w:ind w:firstLine="720"/>
        <w:spacing w:line="480" w:lineRule="auto" w:before="0" w:after="0"/>
        <w:jc w:val="left"/>
      </w:pPr>
      <w:r>
        <w:rPr>
          <w:rFonts w:ascii="Georgia" w:hAnsi="Georgia" w:eastAsia="Georgia" w:cs="Georgia"/>
          <w:sz w:val="22"/>
          <w:szCs w:val="22"/>
        </w:rPr>
        <w:t xml:space="preserve">Positive Discourse Analysis treats constructive discourse as something to be described in linguistic detail, not as an automatic social good (Martin, 2004; Macgilchrist, 2007). In this corpus, positive mental health meanings are co-constructed mainly through two complementary moves. Captions build a preferred reader position, either as someone who can act now (empowerment) or as someone who can look forward (hope). Comments largely ratify that position through supportive lexicon, and a smaller set of comments deepen it through personal narrative. The result is a public exchange in which agency and encouragement are the most visible shared resources, while lived experience remains available as a secondary but important strand.</w:t>
      </w:r>
    </w:p>
    <w:p>
      <w:pPr>
        <w:ind w:firstLine="720"/>
        <w:spacing w:line="480" w:lineRule="auto" w:before="0" w:after="0"/>
        <w:jc w:val="left"/>
      </w:pPr>
      <w:r>
        <w:rPr>
          <w:rFonts w:ascii="Georgia" w:hAnsi="Georgia" w:eastAsia="Georgia" w:cs="Georgia"/>
          <w:sz w:val="22"/>
          <w:szCs w:val="22"/>
        </w:rPr>
        <w:t xml:space="preserve">Bartlett (2012) warns that early PDA risked celebrating preferred texts without enough attention to context and hybridity. The present findings take that warning seriously. Empowerment and hope in this corpus appear in campaign posts, crisis posts, myth-busting posts, and short affective posts. Comments mix organizational praise, peer empathy, and raw disclosure. The positive orientation is real, but it is assembled from mixed materials under platform constraints of length, visibility, and ranking.</w:t>
      </w:r>
    </w:p>
    <w:p>
      <w:pPr>
        <w:spacing w:line="480" w:lineRule="auto" w:before="240" w:after="0"/>
        <w:jc w:val="left"/>
      </w:pPr>
      <w:r>
        <w:rPr>
          <w:rFonts w:ascii="Georgia" w:hAnsi="Georgia" w:eastAsia="Georgia" w:cs="Georgia"/>
          <w:i/>
          <w:sz w:val="24"/>
          <w:szCs w:val="24"/>
        </w:rPr>
        <w:t xml:space="preserve">Relation to critiques of toxic positivity</w:t>
      </w:r>
    </w:p>
    <w:p>
      <w:pPr>
        <w:ind w:firstLine="720"/>
        <w:spacing w:line="480" w:lineRule="auto" w:before="0" w:after="0"/>
        <w:jc w:val="left"/>
      </w:pPr>
      <w:r>
        <w:rPr>
          <w:rFonts w:ascii="Georgia" w:hAnsi="Georgia" w:eastAsia="Georgia" w:cs="Georgia"/>
          <w:sz w:val="22"/>
          <w:szCs w:val="22"/>
        </w:rPr>
        <w:t xml:space="preserve">The pattern also speaks to critiques of toxic positivity. Lecompte-Van Poucke (2022) shows how forced positivity on social media can silence difficulty. Wong et al. (2025) examine public perceptions of good vibes 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w:t>
      </w:r>
    </w:p>
    <w:p>
      <w:pPr>
        <w:ind w:firstLine="720"/>
        <w:spacing w:line="480" w:lineRule="auto" w:before="0" w:after="0"/>
        <w:jc w:val="left"/>
      </w:pPr>
      <w:r>
        <w:rPr>
          <w:rFonts w:ascii="Georgia" w:hAnsi="Georgia" w:eastAsia="Georgia" w:cs="Georgia"/>
          <w:sz w:val="22"/>
          <w:szCs w:val="22"/>
        </w:rPr>
        <w:t xml:space="preserve">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spacing w:line="480" w:lineRule="auto" w:before="240" w:after="0"/>
        <w:jc w:val="left"/>
      </w:pPr>
      <w:r>
        <w:rPr>
          <w:rFonts w:ascii="Georgia" w:hAnsi="Georgia" w:eastAsia="Georgia" w:cs="Georgia"/>
          <w:i/>
          <w:sz w:val="24"/>
          <w:szCs w:val="24"/>
        </w:rPr>
        <w:t xml:space="preserve">How the findings answer the research questions</w:t>
      </w:r>
    </w:p>
    <w:p>
      <w:pPr>
        <w:ind w:firstLine="720"/>
        <w:spacing w:line="480" w:lineRule="auto" w:before="0" w:after="0"/>
        <w:jc w:val="left"/>
      </w:pPr>
      <w:r>
        <w:rPr>
          <w:rFonts w:ascii="Georgia" w:hAnsi="Georgia" w:eastAsia="Georgia" w:cs="Georgia"/>
          <w:sz w:val="22"/>
          <w:szCs w:val="22"/>
        </w:rPr>
        <w:t xml:space="preserve">For Research Question 1, hope is constructed mainly through incremental progress lexis, future-oriented modality, life-worth declarations, and temporal framing, while empowerment is constructed mainly through imperatives, permission statements, collective pronouns, and myth-busting frames. For Research Question 2, public comments are characterized primarily by supportive lexicon that mirrors and ratifies caption stance, with personal narrative as a meaningful secondary type that brings first-person experience into the thread. For Research Question 3, positive mental health meanings in these Instagram advocacy spaces are discursively co-constructed through an empowerment-leaning caption style, a supportive-leaning comment style, and a secondary hope-and-narrative channel that keeps recovery talk and lived experience in public view. The co-construction is linguistic before it is psychological. It is built from the lexical and grammatical choices described above, on both sides of the caption-comment exchange.</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6">
      <w:pPr>
        <w:spacing w:line="480" w:lineRule="auto" w:after="0" w:before="0"/>
        <w:ind w:left="720" w:hanging="720"/>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rtl w:val="0"/>
        </w:rPr>
      </w:r>
    </w:p>
    <w:p w:rsidR="00000000" w:rsidDel="00000000" w:rsidP="00000000" w:rsidRDefault="00000000" w:rsidRPr="00000000" w14:paraId="00000098">
      <w:pPr>
        <w:spacing w:line="480" w:lineRule="auto" w:after="0" w:before="0"/>
        <w:ind w:left="720" w:hanging="720"/>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A">
      <w:pPr>
        <w:spacing w:line="480" w:lineRule="auto" w:after="0" w:before="0"/>
        <w:ind w:left="720" w:hanging="720"/>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C">
      <w:pPr>
        <w:spacing w:line="480" w:lineRule="auto" w:after="0" w:before="0"/>
        <w:ind w:left="720" w:hanging="720"/>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E">
      <w:pPr>
        <w:spacing w:line="480" w:lineRule="auto" w:after="0" w:before="0"/>
        <w:ind w:left="720" w:hanging="720"/>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rtl w:val="0"/>
        </w:rPr>
      </w:r>
    </w:p>
    <w:p w:rsidR="00000000" w:rsidDel="00000000" w:rsidP="00000000" w:rsidRDefault="00000000" w:rsidRPr="00000000" w14:paraId="000000A1">
      <w:pPr>
        <w:spacing w:line="480" w:lineRule="auto" w:after="0" w:before="0"/>
        <w:ind w:left="720" w:hanging="720"/>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3">
      <w:pPr>
        <w:spacing w:line="480" w:lineRule="auto" w:after="0" w:before="0"/>
        <w:ind w:left="720" w:hanging="720"/>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5">
      <w:pPr>
        <w:spacing w:line="480" w:lineRule="auto" w:after="0" w:before="0"/>
        <w:ind w:left="720" w:hanging="720"/>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firstLine="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Category</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Hope Construction</w:t>
            </w:r>
          </w:p>
        </w:tc>
        <w:tc>
          <w:tcPr>
            <w:shd w:fill="ffffff" w:val="clear"/>
            <w:tcMar>
              <w:top w:w="80.0" w:type="dxa"/>
              <w:left w:w="80.0" w:type="dxa"/>
              <w:bottom w:w="80.0" w:type="dxa"/>
              <w:right w:w="80.0" w:type="dxa"/>
            </w:tcMar>
          </w:tcPr>
          <w:p w:rsidR="00000000" w:rsidDel="00000000" w:rsidP="00000000" w:rsidRDefault="00000000" w:rsidRPr="00000000" w14:paraId="000000B5">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Pr>
          <w:p w:rsidR="00000000" w:rsidDel="00000000" w:rsidP="00000000" w:rsidRDefault="00000000" w:rsidRPr="00000000" w14:paraId="000000B6">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7">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Empowerment Language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8">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9">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before="240" w:after="0"/>
        <w:ind w:left="0" w:firstLine="0"/>
        <w:rPr>
          <w:sz w:val="20"/>
          <w:szCs w:val="20"/>
        </w:rPr>
      </w:pPr>
      <w:r w:rsidDel="00000000" w:rsidR="00000000" w:rsidRPr="00000000">
        <w:rPr>
          <w:rFonts w:ascii="Georgia" w:hAnsi="Georgia" w:eastAsia="Georgia" w:cs="Georgia"/>
          <w:rtl w:val="0"/>
        </w:rPr>
      </w:r>
    </w:p>
    <w:p w:rsidR="00000000" w:rsidDel="00000000" w:rsidP="00000000" w:rsidRDefault="00000000" w:rsidRPr="00000000" w14:paraId="000000BB">
      <w:pPr>
        <w:spacing w:line="480" w:lineRule="auto" w:before="0" w:after="0"/>
        <w:ind w:left="0" w:firstLine="720"/>
        <w:jc w:val="both"/>
        <w:rPr/>
      </w:pPr>
      <w:r>
        <w:rPr>
          <w:rFonts w:ascii="Georgia" w:hAnsi="Georgia" w:eastAsia="Georgia" w:cs="Georgia"/>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Response Type</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Supportive Lexicon(Emotional + Esteem Support)</w:t>
            </w:r>
          </w:p>
        </w:tc>
        <w:tc>
          <w:tcPr>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6">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Personal Narrative Framing(Network Support)</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7">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8">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before="24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CA">
      <w:pPr>
        <w:spacing w:line="480" w:lineRule="auto" w:before="0" w:after="0"/>
        <w:ind w:left="0" w:firstLine="0"/>
        <w:rPr/>
      </w:pPr>
      <w:r w:rsidDel="00000000" w:rsidR="00000000" w:rsidRPr="00000000">
        <w:rPr>
          <w:rFonts w:ascii="Georgia" w:hAnsi="Georgia" w:eastAsia="Georgia" w:cs="Georgia"/>
          <w:b w:val="0"/>
          <w:i/>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rtl w:val="0"/>
        </w:rPr>
      </w:r>
    </w:p>
    <w:p w:rsidR="00000000" w:rsidDel="00000000" w:rsidP="00000000" w:rsidRDefault="00000000" w:rsidRPr="00000000" w14:paraId="000000CB">
      <w:pPr>
        <w:spacing w:line="480" w:lineRule="auto" w:before="0" w:after="0"/>
        <w:ind w:left="0" w:firstLine="0"/>
        <w:rPr/>
      </w:pPr>
      <w:r w:rsidDel="00000000" w:rsidR="00000000" w:rsidRPr="00000000">
        <w:rPr>
          <w:rFonts w:ascii="Georgia" w:hAnsi="Georgia" w:eastAsia="Georgia" w:cs="Georgia"/>
          <w:rtl w:val="0"/>
        </w:rPr>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