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Georgia" w:cs="Georgia" w:eastAsia="Georgia" w:hAnsi="Georgia"/>
          <w:b w:val="1"/>
          <w:bCs w:val="1"/>
          <w:sz w:val="28"/>
          <w:szCs w:val="28"/>
          <w:rtl w:val="0"/>
        </w:rPr>
        <w:t xml:space="preserve">CONSTRUCTING HOPE AND EMPOWERMENT: LEXICAL AND GRAMMATICAL STRATEGIES IN INSTAGRAM MENTAL HEALTH ADVOCACY CAPTIONS (2023–2025)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ind w:firstLine="720"/>
        <w:jc w:val="both"/>
      </w:pPr>
      <w:r>
        <w:rPr>
          <w:rFonts w:ascii="Georgia" w:hAnsi="Georgia" w:cs="Georgia"/>
          <w:sz w:val="22"/>
          <w:szCs w:val="22"/>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pPr>
        <w:spacing w:line="480" w:lineRule="auto"/>
        <w:ind w:firstLine="720"/>
        <w:jc w:val="both"/>
      </w:pPr>
      <w:r>
        <w:rPr>
          <w:rFonts w:ascii="Georgia" w:hAnsi="Georgia" w:cs="Georgia"/>
          <w:sz w:val="22"/>
          <w:szCs w:val="22"/>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Georgia" w:hAnsi="Georgia"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single 2023–2025 corpus of public Instagram mental health advocacy posts.</w:t>
      </w:r>
    </w:p>
    <w:p>
      <w:pPr>
        <w:spacing w:line="480" w:lineRule="auto"/>
        <w:ind w:firstLine="720"/>
        <w:jc w:val="both"/>
      </w:pPr>
      <w:r>
        <w:rPr>
          <w:rFonts w:ascii="Georgia" w:hAnsi="Georgia" w:cs="Georgia"/>
          <w:sz w:val="22"/>
          <w:szCs w:val="22"/>
        </w:rPr>
        <w:t>The 2023–2025 data window captures the post-pandemic normalization of mental health communication on social media. Years are pooled for corpus diversity. This design keeps analytical depth feasible for undergraduate qualitative research while situating the corpus in a period when mental health talk on Instagram had become both more visible and more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ind w:firstLine="720"/>
        <w:jc w:val="both"/>
        <w:rPr/>
      </w:pPr>
      <w:bookmarkStart w:colFirst="0" w:colLast="0" w:name="_ee0vf2s7xxwt" w:id="0"/>
      <w:bookmarkEnd w:id="0"/>
      <w:r w:rsidDel="00000000" w:rsidR="00000000" w:rsidRPr="00000000">
        <w:rPr>
          <w:rFonts w:ascii="Times New Roman" w:cs="Georgia" w:eastAsia="Georgia" w:hAnsi="Times New Roman"/>
          <w:sz w:val="22"/>
          <w:szCs w:val="22"/>
          <w:rtl w:val="0"/>
        </w:rPr>
        <w:t>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tl w:val="0"/>
        </w:rPr>
      </w:r>
    </w:p>
    <w:p>
      <w:r>
        <w:rPr>
          <w:rFonts w:ascii="Times New Roman" w:hAnsi="Times New Roman"/>
          <w:sz w:val="22"/>
        </w:rPr>
        <w:t>Table 1. Discursive orientations for caption coding</w:t>
      </w:r>
    </w:p>
    <w:tbl>
      <w:tblPr>
        <w:tblW w:type="auto" w:w="0"/>
        <w:jc w:val="center"/>
        <w:tblLook w:firstColumn="1" w:firstRow="1" w:lastColumn="0" w:lastRow="0" w:noHBand="0" w:noVBand="1" w:val="04A0"/>
      </w:tblPr>
      <w:tblGrid>
        <w:gridCol w:w="2769"/>
        <w:gridCol w:w="2769"/>
        <w:gridCol w:w="2769"/>
      </w:tblGrid>
      <w:tr>
        <w:tc>
          <w:tcPr>
            <w:tcW w:type="dxa" w:w="2769"/>
          </w:tcPr>
          <w:p>
            <w:r>
              <w:rPr>
                <w:rFonts w:ascii="Times New Roman" w:hAnsi="Times New Roman"/>
                <w:b/>
                <w:sz w:val="20"/>
              </w:rPr>
            </w:r>
          </w:p>
        </w:tc>
        <w:tc>
          <w:tcPr>
            <w:tcW w:type="dxa" w:w="2769"/>
          </w:tcPr>
          <w:p>
            <w:r>
              <w:rPr>
                <w:rFonts w:ascii="Times New Roman" w:hAnsi="Times New Roman"/>
                <w:b/>
                <w:sz w:val="20"/>
              </w:rPr>
              <w:t>Hope Construction</w:t>
            </w:r>
          </w:p>
        </w:tc>
        <w:tc>
          <w:tcPr>
            <w:tcW w:type="dxa" w:w="2769"/>
          </w:tcPr>
          <w:p>
            <w:r>
              <w:rPr>
                <w:rFonts w:ascii="Times New Roman" w:hAnsi="Times New Roman"/>
                <w:b/>
                <w:sz w:val="20"/>
              </w:rPr>
              <w:t>Empowerment Language</w:t>
            </w:r>
          </w:p>
        </w:tc>
      </w:tr>
      <w:tr>
        <w:tc>
          <w:tcPr>
            <w:tcW w:type="dxa" w:w="2769"/>
          </w:tcPr>
          <w:p>
            <w:r>
              <w:rPr>
                <w:rFonts w:ascii="Times New Roman" w:hAnsi="Times New Roman"/>
                <w:b/>
                <w:sz w:val="20"/>
              </w:rPr>
              <w:t>Discursive focus</w:t>
            </w:r>
          </w:p>
        </w:tc>
        <w:tc>
          <w:tcPr>
            <w:tcW w:type="dxa" w:w="2769"/>
          </w:tcPr>
          <w:p>
            <w:r>
              <w:rPr>
                <w:rFonts w:ascii="Times New Roman" w:hAnsi="Times New Roman"/>
                <w:sz w:val="20"/>
              </w:rPr>
              <w:t>Future possibility or recovery trajectory</w:t>
            </w:r>
          </w:p>
        </w:tc>
        <w:tc>
          <w:tcPr>
            <w:tcW w:type="dxa" w:w="2769"/>
          </w:tcPr>
          <w:p>
            <w:r>
              <w:rPr>
                <w:rFonts w:ascii="Times New Roman" w:hAnsi="Times New Roman"/>
                <w:sz w:val="20"/>
              </w:rPr>
              <w:t>Present capacity to act or decide</w:t>
            </w:r>
          </w:p>
        </w:tc>
      </w:tr>
      <w:tr>
        <w:tc>
          <w:tcPr>
            <w:tcW w:type="dxa" w:w="2769"/>
          </w:tcPr>
          <w:p>
            <w:r>
              <w:rPr>
                <w:rFonts w:ascii="Times New Roman" w:hAnsi="Times New Roman"/>
                <w:b/>
                <w:sz w:val="20"/>
              </w:rPr>
              <w:t>Reader position</w:t>
            </w:r>
          </w:p>
        </w:tc>
        <w:tc>
          <w:tcPr>
            <w:tcW w:type="dxa" w:w="2769"/>
          </w:tcPr>
          <w:p>
            <w:r>
              <w:rPr>
                <w:rFonts w:ascii="Times New Roman" w:hAnsi="Times New Roman"/>
                <w:sz w:val="20"/>
              </w:rPr>
              <w:t>Someone who can look forward</w:t>
            </w:r>
          </w:p>
        </w:tc>
        <w:tc>
          <w:tcPr>
            <w:tcW w:type="dxa" w:w="2769"/>
          </w:tcPr>
          <w:p>
            <w:r>
              <w:rPr>
                <w:rFonts w:ascii="Times New Roman" w:hAnsi="Times New Roman"/>
                <w:sz w:val="20"/>
              </w:rPr>
              <w:t>Someone who can take charge</w:t>
            </w:r>
          </w:p>
        </w:tc>
      </w:tr>
      <w:tr>
        <w:tc>
          <w:tcPr>
            <w:tcW w:type="dxa" w:w="2769"/>
          </w:tcPr>
          <w:p>
            <w:r>
              <w:rPr>
                <w:rFonts w:ascii="Times New Roman" w:hAnsi="Times New Roman"/>
                <w:b/>
                <w:sz w:val="20"/>
              </w:rPr>
              <w:t>Basic speech act</w:t>
            </w:r>
          </w:p>
        </w:tc>
        <w:tc>
          <w:tcPr>
            <w:tcW w:type="dxa" w:w="2769"/>
          </w:tcPr>
          <w:p>
            <w:r>
              <w:rPr>
                <w:rFonts w:ascii="Times New Roman" w:hAnsi="Times New Roman"/>
                <w:sz w:val="20"/>
              </w:rPr>
              <w:t>Things can or will get better</w:t>
            </w:r>
          </w:p>
        </w:tc>
        <w:tc>
          <w:tcPr>
            <w:tcW w:type="dxa" w:w="2769"/>
          </w:tcPr>
          <w:p>
            <w:r>
              <w:rPr>
                <w:rFonts w:ascii="Times New Roman" w:hAnsi="Times New Roman"/>
                <w:sz w:val="20"/>
              </w:rPr>
              <w:t>You can or should act</w:t>
            </w:r>
          </w:p>
        </w:tc>
      </w:tr>
      <w:tr>
        <w:tc>
          <w:tcPr>
            <w:tcW w:type="dxa" w:w="2769"/>
          </w:tcPr>
          <w:p>
            <w:r>
              <w:rPr>
                <w:rFonts w:ascii="Times New Roman" w:hAnsi="Times New Roman"/>
                <w:b/>
                <w:sz w:val="20"/>
              </w:rPr>
              <w:t>Time orientation</w:t>
            </w:r>
          </w:p>
        </w:tc>
        <w:tc>
          <w:tcPr>
            <w:tcW w:type="dxa" w:w="2769"/>
          </w:tcPr>
          <w:p>
            <w:r>
              <w:rPr>
                <w:rFonts w:ascii="Times New Roman" w:hAnsi="Times New Roman"/>
                <w:sz w:val="20"/>
              </w:rPr>
              <w:t>Forward-looking</w:t>
            </w:r>
          </w:p>
        </w:tc>
        <w:tc>
          <w:tcPr>
            <w:tcW w:type="dxa" w:w="2769"/>
          </w:tcPr>
          <w:p>
            <w:r>
              <w:rPr>
                <w:rFonts w:ascii="Times New Roman" w:hAnsi="Times New Roman"/>
                <w:sz w:val="20"/>
              </w:rPr>
              <w:t>Present-oriented agency</w:t>
            </w:r>
          </w:p>
        </w:tc>
      </w:tr>
    </w:tbl>
    <w:p>
      <w:r>
        <w:rPr>
          <w:rFonts w:ascii="Times New Roman" w:hAnsi="Times New Roman"/>
          <w:sz w:val="22"/>
        </w:rPr>
        <w:t>Coding is guided by derivative questions rather than by an exhaustive inventory of keywords. For each caption the researcher asks: (1) What is this caption mainly trying to do for the reader's stance toward mental health. Project a positive future possibility, or position the reader as someone who can act? (2) Does the strongest grammatical force look forward (modality of possibility, temporal progression, recovery nouns) or look at the reader's capacity to act (directives, autonomy markers, boundary language)? (3) When both orientations are present, which one occupies the main clause or the final prominent position, and which speech act ("Things can or will get better" versus "You can or should act") carries the main force of the text? (4) If the two checks disagree, or if features are roughly equal and neither is prominent, or if neither orientation performs the main communicative work, the caption is coded as blended or indeterminate and logged separately. Illustrative linguistic signals for each orientation appear in Appendix A. Feature tallies are still recorded for distributional description, but each caption receives only one dominant code. This function-driven procedure is consistent with PDA's emphasis on discursive purpose over keyword frequency and is suited to short-form digital texts where meaning is densely packed within limited word counts.</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ind w:firstLine="720"/>
        <w:jc w:val="both"/>
        <w:rPr/>
      </w:pPr>
      <w:r w:rsidDel="00000000" w:rsidR="00000000" w:rsidRPr="00000000">
        <w:rPr>
          <w:rFonts w:ascii="Georgia" w:cs="Georgia" w:eastAsia="Georgia" w:hAnsi="Georgia"/>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operationalized through empathy markers, validation language, encouragement phrases, and second-person affirmation</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Times New Roman" w:cs="Georgia" w:eastAsia="Georgia" w:hAnsi="Times New Roman"/>
          <w:sz w:val="22"/>
          <w:szCs w:val="22"/>
          <w:rtl w:val="0"/>
        </w:rPr>
        <w:t>The IPO structure organizes the three phases of analysis. In the Input phase, a corpus of a maximum of 30 publicly accessible English-language captions is assembled from Instagram mental health advocacy pages published between 2023 and 2025, with a maximum of three posts per page and two eligible top-level comments selected per post by maximum variation on response type. In the Process phase, Phase 1 applies the derivative-question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Times New Roman" w:cs="Georgia" w:eastAsia="Georgia" w:hAnsi="Times New Roman"/>
          <w:sz w:val="22"/>
          <w:szCs w:val="22"/>
          <w:rtl w:val="0"/>
        </w:rPr>
        <w:t>This study is limited to a corpus of a maximum of 30 English-language Instagram captions drawn from publicly accessible mental health advocacy pages published between 2023 and 2025. The corpus ceiling of 30 posts is a total figure across all sampled pages and years, not a per-year quota. Posts from 2023, 2024, and 2025 are pooled to ensure corpus diversity without introducing cross-year comparative claims. Each qualifying page contributes a maximum of three eligible posts so that no single account dominates the corpus. Each caption must contain a minimum of 30 English words to provide sufficient lexical material for meaningful PDA coding. Posts must also demonstrate observable public engagement, defined as at least 100 likes and 20 visible comments. For each post, two eligible top-level comments are selected by maximum variation on response type when both types are present among eligible comments. Analysis of both captions and comments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Times New Roman" w:cs="Georgia" w:eastAsia="Georgia" w:hAnsi="Times New Roman"/>
          <w:sz w:val="22"/>
          <w:szCs w:val="22"/>
          <w:rtl w:val="0"/>
        </w:rPr>
        <w:t>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Comment sampling is purposive and capped at two eligible top-level comments per post. Nested replies are excluded. The sample therefore does not represent the full distribution of responses on high-engagement posts, including early commenters whose contributions sit lower in the chronological display. The engagement-threshold criterion of at least 100 likes and 20 comments further restricts the corpus to high-engagement content and is not representative of lower-visibility mental health discourse.</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Hope Construction. 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Empowerment Language. 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Function-Driven Coding. A qualitative analytical approach that categorizes linguistic features based on their discursive purpose in context, not mechanical keyword matching. Coding is guided by a short set of derivative questions (see Appendix A) that force a judgment of primary orientation. When overlapping features appear, dominance is adjudicated by syntactic weight and speech-act weight. Cases in which the checks disagree, or in which neither orientation clearly performs the main work, are coded as blended or 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Eligible Top-Level Comment. A comment written directly under the post (not a nested reply to another comment) that meets the study's eligibility filter: English language, sufficient continuous text for linguistic analysis (at least ten words or one analysable clause), and not limited to pure emoji, single-word reactions, tags, or links. From the eligible set, two comments per post are selected by maximum variation on response type when both types are present.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Contemporary Corpus. </w:t>
      </w:r>
      <w:r w:rsidDel="00000000" w:rsidR="00000000" w:rsidRPr="00000000">
        <w:rPr>
          <w:rFonts w:ascii="Georgia" w:cs="Georgia" w:eastAsia="Georgia" w:hAnsi="Georgia"/>
          <w:sz w:val="22"/>
          <w:szCs w:val="22"/>
          <w:rtl w:val="0"/>
        </w:rPr>
        <w:t xml:space="preserve">A pooled sample of Instagram posts published between 2023 and 2025, analyzed as a single dataset capturing the post-pandemic normalization of mental health communication on social media.</w:t>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1. Corpus Screening. 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 screening log records pages considered, pages retained, and pages dropped. Within each retained page, posts published between 2023 and 2025 are screened against the post criteria: English language, caption of at least 30 words, content that clearly addresses mental health awareness, support, coping, recovery, or advocacy, fully visible caption text, and engagement of at least 100 likes and 20 visible comments. Each page contributes a maximum of three eligible posts. Screening proceeds page by page until the corpus ceiling of 30 captions is reached or the candidate list is exhausted. Preference is given to posts that appear under relevant mental health hashtags, but hashtag use is not a hard requirement.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3. Caption Coding. Each caption is read holistically. Coding follows the derivative-question procedure in Appendix A. Illustrative linguistic signals are identified and tallied by feature type. The dominant discursive orientation is coded as HOPE, EMPOWERMENT, or blended/indeterminate according to primary communicative intent, syntactic weight, and speech-act weight. Feature tallies are retained for distributional description even when a single dominant code is assigned.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4. Comment Extraction and Coding. For each retained post, top-level comments in the public chronological display are screened for eligibility. A comment is eligible only if it is written in English, contains sufficient continuous text for linguistic analysis (at least ten words or one analysable clause), and is not limited to pure emoji, single-word reactions, tags, or links. Nested replies to other comments are excluded. From the eligible set, two comments are selected by maximum variation on response type: one that leans toward supportive lexicon (encouragement, validation, or empathy without personal disclosure) and one that leans toward personal narrative framing (first-person experience related to the caption theme), when both kinds are present. When only one kind appears, the two clearest eligible examples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Times New Roman" w:cs="Georgia" w:eastAsia="Georgia" w:hAnsi="Times New Roman"/>
          <w:sz w:val="22"/>
          <w:szCs w:val="22"/>
          <w:rtl w:val="0"/>
        </w:rPr>
        <w:t>The corpus consists of a maximum of 30 Instagram captions in total, not 30 per year, sourced from publicly accessible English-language mental health advocacy pages published between 2023 and 2025. Posts from across this three-year window are pooled into a single dataset. No cross-year comparison is performed. Corpus construction follows a stratified purposive sampling strategy (Patton, 2002). Stratification is applied by account. Each qualifying page contributes a maximum of three eligible posts so that no single account dominates the corpus and so that a range of advocacy voices is represented. A target of at least ten different pages is used for a full 30-post corpus. Within each page, posts are purposively selected against these criteria: (1) published between 2023 and 2025, (2) caption contains a minimum of 30 English words, (3) content clearly addresses mental health awareness, support, coping, recovery, or advocacy, (4) caption is fully visible without platform truncation, and (5) the post shows at least 100 likes and 20 visible comments. For each retained post, two eligible top-level comments are selected by maximum variation on response type when both supportive-lexicon and personal-narrative orientations are present among eligible comments. Eligibility requires English language and sufficient continuous text for linguistic analysis. Nested replies are excluded. Total visible comment count is logged per post. All data are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ind w:left="720" w:hanging="720"/>
        <w:jc w:val="both"/>
        <w:rPr/>
      </w:pPr>
      <w:r w:rsidDel="00000000" w:rsidR="00000000" w:rsidRPr="00000000">
        <w:rPr>
          <w:rFonts w:ascii="Georgia" w:cs="Georgia" w:eastAsia="Georgia" w:hAnsi="Georgia"/>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Georgia" w:cs="Georgia" w:eastAsia="Georgia" w:hAnsi="Georgia"/>
          <w:i w:val="1"/>
          <w:iCs w:val="1"/>
          <w:sz w:val="22"/>
          <w:szCs w:val="22"/>
          <w:rtl w:val="0"/>
        </w:rPr>
        <w:t xml:space="preserve">Journal of the American Society for Information Science and Technology, 60</w:t>
      </w:r>
      <w:r w:rsidDel="00000000" w:rsidR="00000000" w:rsidRPr="00000000">
        <w:rPr>
          <w:rFonts w:ascii="Georgia" w:cs="Georgia" w:eastAsia="Georgia" w:hAnsi="Georgia"/>
          <w:sz w:val="22"/>
          <w:szCs w:val="22"/>
          <w:rtl w:val="0"/>
        </w:rPr>
        <w:t xml:space="preserve">(7), 1504–1517. https://doi.org/10.1002/asi.21070</w:t>
      </w: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1">
            <w:pPr>
              <w:spacing w:after="0" w:before="0" w:lineRule="auto"/>
              <w:jc w:val="left"/>
              <w:rPr/>
            </w:pPr>
            <w:r w:rsidDel="00000000" w:rsidR="00000000" w:rsidRPr="00000000">
              <w:rPr>
                <w:rFonts w:ascii="Georgia" w:cs="Georgia" w:eastAsia="Georgia" w:hAnsi="Georgia"/>
                <w:sz w:val="18"/>
                <w:szCs w:val="18"/>
                <w:rtl w:val="0"/>
              </w:rPr>
              <w:t xml:space="preserve">Modality: can, will, may, couldTemporal: soon, eventually, step by stepRecovery nouns: healing, growth, recoveryAdverbs: possibly, hopefullyConditionals: if you keep going...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
              <w:rPr>
                <w:rFonts w:ascii="Times New Roman" w:hAnsi="Times New Roman"/>
                <w:sz w:val="18"/>
              </w:rPr>
              <w:t>Code as HOPE when the derivative questions (see Decision procedure below) show that the dominant function projects optimism or future possibility about mental health. Record feature types and counts for distributional analysis. Code dominant function only. Example: "Healing is not linear, but you will get there. Recovery takes time, and every small step forward matters." (forward-looking modality: will; recovery nouns: healing, recovery; temporal: takes time)</w:t>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4">
            <w:pPr>
              <w:spacing w:after="0" w:before="0" w:lineRule="auto"/>
              <w:jc w:val="left"/>
              <w:rPr/>
            </w:pPr>
            <w:r w:rsidDel="00000000" w:rsidR="00000000" w:rsidRPr="00000000">
              <w:rPr>
                <w:rFonts w:ascii="Georgia" w:cs="Georgia" w:eastAsia="Georgia" w:hAnsi="Georgia"/>
                <w:sz w:val="18"/>
                <w:szCs w:val="18"/>
                <w:rtl w:val="0"/>
              </w:rPr>
              <w:t xml:space="preserve">Directives: seek, set, prioritize, takeSelf-care: boundaries, rest, check inAgency: you can decide, trust yourselfAutonomy: at your own pace, when readyAction phrases: small wins, your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
              <w:rPr>
                <w:rFonts w:ascii="Times New Roman" w:hAnsi="Times New Roman"/>
                <w:sz w:val="18"/>
              </w:rPr>
              <w:t>Code as EMPOWERMENT when the derivative questions show that the dominant function encourages proactive agency or autonomous action. Record feature types and counts. Code dominant function only. Example: "Set boundaries that protect your peace. You can decide what serves your mental health and what doesn't." (directive: set; agency: you can decide; self-care: boundaries; autonomy: what serves your mental health)</w:t>
            </w:r>
          </w:p>
        </w:tc>
      </w:tr>
    </w:tbl>
    <w:p>
      <w:r>
        <w:rPr>
          <w:rFonts w:ascii="Times New Roman" w:hAnsi="Times New Roman"/>
          <w:sz w:val="20"/>
        </w:rPr>
        <w:t>Decision procedure (derivative questions). The markers in Table A1 are illustrative signals, not an exhaustive inventory. Coding is guided by the following questions applied to each caption as a whole. (1) Primary orientation: What is this caption mainly trying to do for the reader's stance toward mental health? Project a positive future possibility or recovery trajectory (leans HOPE), or position the reader as someone who can act, decide, or set terms (leans EMPOWERMENT)? (2) Future versus agency check: Does the strongest grammatical force look forward (modality of possibility, temporal progression, recovery nouns) or look at the reader's capacity to act (directives, autonomy markers, boundary language)? (3) Dominance adjudication when both orientations appear: Which orientation occupies the main clause(s) or the final prominent position (syntactic weight)? If the caption is reduced to one speech act, is it closer to "Things can or will get better" (HOPE) or "You can or should act" (EMPOWERMENT) (speech-act weight)? The orientation that wins both checks, or clearly wins one while the other is only peripheral, becomes the dominant code. If the two checks disagree, move to question 4. (4) Blended or indeterminate: Code and justify as blended when the two checks disagree, when features are roughly equal and neither is prominent, or when neither orientation is performing the main communicative work of the caption. Blended cases are logged separately and excluded from the main HOPE versus EMPOWERMENT distribution.</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Georgia" w:cs="Georgia" w:eastAsia="Georgia" w:hAnsi="Georgia"/>
                <w:sz w:val="18"/>
                <w:szCs w:val="18"/>
                <w:rtl w:val="0"/>
              </w:rPr>
              <w:t xml:space="preserve">First-person: I felt, I went through, I struggledTemporal: last year, during my..., when I was...Disclosure: it helped me, my journey...Connection: this resonates, I relate, same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