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w:t>
        <w:br/>
        <w:br/>
        <w:t>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Audience responses to mental health content follow recognizable linguistic patterns. Chang (2009), analyzing communication within an online psychosis support group, identified four primary support types: informational support, emotional support, esteem support, and network support. Subsequent digital discourse studies have found that comment sections often mirror the discursive stance of the original post, with emotional and network support dominating wellness communities (Naslund et al., 2016).</w:t>
      </w: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 xml:space="preserve">However, most existing analyses treat comments as sentiment data or engagement metrics rather than as structured linguistic responses. This study addresses that gap by applying a focused adaptation of Chang’s (2009) typology: emotional and esteem support are collapsed into a single “supportive lexicon” category, and network support is operationalized as “personal narrative framing.” Informational support is excluded from primary analysis as it is markedly less prevalent in advocacy page comment sections. Identifying the linguistic features of these comment responses is thus central to the second research question and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