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[G] them a weak, unsuitable material to use in building walkways. This study is essential for getting insights into eco-brick manufacture because the workability of SUPs and UCOs as raw materials is proven. The research findings do not apply to buildings. Therefore, further research will (FP-Gen) aid in underlining the importance of optimizing the ingredient ratios to acquire desirable quality eco-bricks for sustainable construction applications.</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potential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caused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[G] a comprehensive approach for diagnosing and studying mycobacteriosis in cultivated milkfish, offering insights that can (FP-Cap) guide effective management strategies to control the spread of this disease in aquaculture system.</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[C] strong antibacterial activity.</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[C], while using only a small amount of Zoletil®. Additionally, it was also revealed that 40 g/L of sodium bicarbonate was sufficient to induce Stage 3 anesthesia in zebrafish.</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linked [C] to bacterial growth on eggshells, yolks and albumen, with p-values of 0.030 and 0.014, respectively. The findings suggests (FP-Rec) the need for assessment of knowledge, attitudes and practices of retail egg vendors about food safety and regular antimicrobial resistance monitoring on retail eggs.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suggest (FP-Rec) the need to improve training, regulation of milk storage, and the enforcement of labeling and sanitation standards to improve public health safety in the milk supply chain.</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hAnsi="Georgia" w:cs="Georgia" w:eastAsia="Georgia"/>
          <w:sz w:val="22"/>
          <w:szCs w:val="22"/>
          <w:b w:val="0"/>
          <w:bCs w:val="0"/>
          <w:strike w:val="0"/>
          <w:highlight w:val="red"/>
          <w:color w:val="FFFFFF"/>
        </w:rPr>
        <w:t/>
      </w:r>
      <w:r>
        <w:rPr>
          <w:rFonts w:ascii="Georgia" w:hAnsi="Georgia" w:cs="Georgia" w:eastAsia="Georgia"/>
          <w:sz w:val="20"/>
          <w:szCs w:val="20"/>
          <w:b w:val="0"/>
          <w:bCs w:val="0"/>
          <w:strike w:val="0"/>
          <w:color w:val="ED7D31"/>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were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has [G] antibacterial property.</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can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recommended (FP-Rec) to mitigate rabies transmission risks. These insights align with broader efforts toward rabies elimination in the Philippines by 2030, emphasizing the importance of addressing localized KAP gaps through evidence-based interventions.</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had [C] the biggest impact, resulting in the heaviest weight. Additionally, the total return result showed [G] a promising future for fermented okara extract at a level of 60 ml (166.00 PHP).</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was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strike w:val="0"/>
          <w:color w:val="000000"/>
          <w:shd w:val="clear" w:color="auto" w:fill="BFBFBF"/>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recommended (FP-Rec) for future researchers to add Diatomaceous earth and neem tree extract and check the humidity. Extend data collection for 72 hours and 96 hours for future study.</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w:r>
      <w:r>
        <w:rPr>
          <w:rFonts w:ascii="Georgia" w:hAnsi="Georgia" w:cs="Georgia" w:eastAsia="Georgia"/>
          <w:sz w:val="20"/>
          <w:szCs w:val="20"/>
          <w:b w:val="0"/>
          <w:bCs w:val="0"/>
          <w:strike w:val="0"/>
          <w:color w:val="000000"/>
        </w:rPr>
        <w:t xml:space="preserve"/>
      </w:r>
      <w:r>
        <w:rPr>
          <w:rFonts w:ascii="Georgia" w:hAnsi="Georgia" w:cs="Georgia" w:eastAsia="Georgia"/>
          <w:sz w:val="22"/>
          <w:szCs w:val="22"/>
          <w:b w:val="0"/>
          <w:bCs w:val="0"/>
          <w:strike w:val="0"/>
          <w:color w:val="000000"/>
        </w:rPr>
        <w:t xml:space="preserve"/>
      </w:r>
      <w:r>
        <w:rPr>
          <w:rFonts w:ascii="Georgia" w:hAnsi="Georgia" w:cs="Georgia" w:eastAsia="Georgia"/>
          <w:sz w:val="22"/>
          <w:szCs w:val="22"/>
          <w:b w:val="0"/>
          <w:bCs w:val="0"/>
          <w:color w:val="000000"/>
          <w:strike w:val="1"/>
        </w:rPr>
        <w:t/>
      </w:r>
      <w:r>
        <w:rPr>
          <w:rFonts w:ascii="Georgia" w:hAnsi="Georgia" w:cs="Georgia" w:eastAsia="Georgia"/>
          <w:sz w:val="20"/>
          <w:szCs w:val="20"/>
          <w:b w:val="0"/>
          <w:bCs w:val="0"/>
          <w:strike w:val="0"/>
          <w:color w:val="808080"/>
        </w:rPr>
        <w:t xml:space="preserve"/>
      </w:r>
      <w:r>
        <w:rPr>
          <w:rFonts w:ascii="Georgia" w:hAnsi="Georgia" w:cs="Georgia" w:eastAsia="Georgia"/>
          <w:sz w:val="22"/>
          <w:szCs w:val="22"/>
          <w:b w:val="0"/>
          <w:bCs w:val="0"/>
          <w:strike w:val="0"/>
          <w:color w:val="000000"/>
        </w:rPr>
        <w:t xml:space="preserve"/>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