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rtl w:val="0"/>
        </w:rPr>
        <w:t xml:space="preserve">dapat</w:t>
      </w:r>
      <w:r w:rsidDel="00000000" w:rsidR="00000000" w:rsidRPr="00000000">
        <w:rPr>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25">
      <w:pPr>
        <w:spacing w:after="0" w:before="0" w:line="480" w:lineRule="auto"/>
        <w:ind w:firstLine="720"/>
        <w:jc w:val="both"/>
        <w:rPr/>
      </w:pPr>
      <w:r w:rsidDel="00000000" w:rsidR="00000000" w:rsidRPr="00000000">
        <w:rPr>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 xml:space="preserve">Since this study does not measure English proficiency independently, observed patterns may reflect L2 constraints, disciplinary socialization, or both. The aim is a descriptive baseline.</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rtl w:val="0"/>
        </w:rPr>
        <w:t xml:space="preserve">completely, really, and always</w:t>
      </w:r>
      <w:r w:rsidDel="00000000" w:rsidR="00000000" w:rsidRPr="00000000">
        <w:rPr>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and his polypragmatic model distinguishes content-oriented hedges (accuracy and reliability of the claim) from reader-oriented hedges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