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main certainty-bearing verb of a claim where caution was warranted but absent. The subtype tag [G] or [C] is placed immediately after that verb, in the same way function labels such as (EC) sit beside hedge tokens. The full clause is recorded in the coding sheet. Layer 3 does not mark every claim without a hedge. It marks only sites where a hedge was appropriate: generalizations beyond the data [G], and causal or evaluative claims stronger than the design or results support [C]. Bare trial results and measured findings are not markable, even if a hedge could be inserted without changing the facts. Procedural statements are never markable. Example: “The treatment was [G] the most compelling among all treatments” is markable; “Mean yield was higher in T3 (p &lt; .05)” is not.</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used under the warranted-caution rule. Bare findings (means, significance, presence/absence) are appropriate without hedges and are not marked.</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 routine results reporting does not require a hedge.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“T3 was the most compelling treatment” (markable [G]) vs “Yield was higher in T3 (p &lt; .05)” (not markable).</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highlight marks the main certainty-bearing verb; [G] or [C] is written beside that verb (same placement pattern as (EC) on hedges). Only warranted-but-absent caution is marked. Bare trial results are not.</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