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
        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two paired removal checks. The Working Test asks whether removing the device changes commitment to the truth of the proposition. If it does, the token is retained as Epistemic Caution (EC). The Reader Test asks whether, when truth-commitment stays the same, removing the device makes the claim more imposing, unattributed, or confrontational toward readers or prior work. If it does, the token is retained as Politeness/Deference (P). If neither check is met, the token is not a hedge and is logged as a false positive (FP). FP is a residual record, not a function label. The only function labels are P and EC (EC+P when both checks hold on one token). Step 3 assigned grammatical type (modal, lexical, adverbial, clause-level) to retained P and EC tokens only. In this corpus all 65 retained hedges were EC. No P forms appeared. RQ3 reports the functional profile of retained hedges (P versus EC). RQ4 is answered from frequency patterns together with interpretive reading under the lenses named above. Figure 1 presents the study overview: research abstracts through Hyland-based identification and coding (functions EC and P; types lexical, modal, adverbial, clause-level), frequency analysis, cross-disciplinary comparison, and theoretical interpretation, yielding hedge patterns by discipline.
    </w:t>
      </w:r>
      <w:r>
        <w:rPr>
          <w:rtl w:val="0"/>
        </w:rPr>
      </w:r>
    </w:p>
    <w:p>
      <w:pPr>
        <w:spacing w:before="0" w:after="0" w:line="480" w:lineRule="auto"/>
        <w:ind w:firstLine="720"/>
        <w:jc w:val="both"/>
        <w:rPr/>
      </w:pPr>
      <w:r>
        <w:rPr>
          <w:rFonts w:ascii="Georgia" w:hAnsi="Georgia" w:cs="Georgia" w:eastAsia="Georgia"/>
          <w:i w:val="0"/>
          <w:sz w:val="22"/>
          <w:szCs w:val="22"/>
          <w:b w:val="0"/>
          <w:bCs w:val="0"/>
        </w:rPr>
        <w:t xml:space="preserve">
        The only function labels in this study are Epistemic Caution (EC) and Politeness/Deference (P). False positives are not a function. They are a residual record of candidates that meet neither removal check. EC and P may co-occur on one retained token (EC+P) when both the Working Test and the Reader Test hold. Connectors and framing forms may appear in the Step 1 net. If neither test is met, they are recorded as FP, not as a third function.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an empirical pattern in this sample. It is not a design exclusion of P: a token that passes the Reader Test is retained as P even when the Working Test fails. The zero for P is a genre null—undergraduate science abstracts in this corpus rarely cite prior work or address readers interpersonally—supported by the Non-retained inventory scan of interpersonal forms, not by a Step 2 rule that bars politeness. Non-qualifying candidates are FP records, not a third function.
    </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
        The study also lacks a comparable expert-abstract corpus against which to compare the functional findings. Among retained hedges, no tokens were independently labeled Politeness (P = 0). That null is empirical and genre-linked, not built into Step 2: the Reader Test can retain pure P. Lead support is the Non-retained inventory scan of interpersonal candidates. False positives (n = 58) are category-coded rejects, not a third function. Genre compression in abstracts is a plausible account of why P items did not appear. Expert abstracts in the same three disciplines, coded with the same Step 1–3 coding scheme, would help separate genre effects from writer-competence effects.
    </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a change in epistemic weight supports an EC label under the Working Test at Step 2. The Reader Test at Step 2 tracks interpersonal softening (imposition, attribution, confrontation toward readers or prior work) for a P label. Neither check met yields FP, not a function.</w:t>
      </w:r>
      <w:r>
        <w:rPr>
          <w:rFonts w:ascii="Georgia" w:hAnsi="Georgia" w:cs="Georgia" w:eastAsia="Georgia"/>
          <w:sz w:val="22"/>
          <w:b w:val="0"/>
          <w:bCs w:val="0"/>
        </w:rPr>
        <w:t xml:space="preserve"/>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
        Softening,
         conceptually, is the reduction of force, directness, imposition, or interpersonal impact in a statement. Operationally, Step 2 tracks softening of force or directness on knowledge claims (and interpersonal imposition on how claims are put forward). Retained hedges are labeled EC and/or P only, by the Working Test and Reader Test at Step 2. FP is not a function label. Directives remain excluded (FP-Rec).
    </w:t>
      </w:r>
      <w:r>
        <w:rPr>
          <w:rFonts w:ascii="Georgia" w:hAnsi="Georgia" w:cs="Georgia" w:eastAsia="Georgia"/>
          <w:sz w:val="22"/>
          <w:b w:val="0"/>
          <w:bCs w:val="0"/>
        </w:rPr>
        <w:t xml:space="preserve"/>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
        Alongside the 65 retained EC hedges (and P = 0), the corpus yielded 58 false positive tokens—hedge-like words rejected under Step 2 (Working Test + Reader Test). Table 6 places these totals side by side.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screen. Without that position-based rule, keyword matching alone would have counted many topic-naming uses of potential as hedges and inflated the total.
    </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
        Table 6 summarizes Step 2 outcomes for the coding pool. Of the retained hedges, all 65 were coded Epistemic Caution (EC). Politeness/Deference is null (P = 0). False positives totaled 58 (FP-Gen 33, FP-Rec 15, FP-Cap 8, FP-Proc 2). FP is not a function label; the 58 are category-coded rejects (excluded by FP-Gen/Rec/Cap/Proc rules and/or failed both removal checks). The direct comparison is therefore EC = 65, P = 0, FP = 58.
    </w:t>
      </w:r>
      <w:r>
        <w:rPr>
          <w:rFonts w:ascii="Georgia" w:hAnsi="Georgia" w:cs="Georgia" w:eastAsia="Georgia"/>
          <w:b w:val="0"/>
          <w:i w:val="0"/>
          <w:sz w:val="22"/>
          <w:color w:val="000000"/>
        </w:rPr>
        <w:t/>
      </w:r>
      <w:r>
        <w:rPr>
          <w:rFonts w:ascii="Georgia" w:hAnsi="Georgia" w:cs="Georgia" w:eastAsia="Georgia"/>
          <w:b w:val="0"/>
          <w:i w:val="0"/>
          <w:sz w:val="22"/>
        </w:rPr>
        <w:t xml:space="preserve"/>
      </w:r>
      <w:r>
        <w:rPr>
          <w:rFonts w:ascii="Georgia" w:hAnsi="Georgia" w:cs="Georgia" w:eastAsia="Georgia"/>
          <w:b w:val="0"/>
          <w:i w:val="0"/>
          <w:sz w:val="22"/>
          <w:color w:val="000000"/>
        </w:rPr>
        <w:t/>
      </w:r>
      <w:r>
        <w:rPr>
          <w:rFonts w:ascii="Georgia" w:hAnsi="Georgia" w:cs="Georgia" w:eastAsia="Georgia"/>
          <w:b w:val="0"/>
          <w:i w:val="0"/>
          <w:sz w:val="22"/>
        </w:rPr>
        <w:t xml:space="preserve"/>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
        No retained hedge was independently labeled Politeness. Under the Step 2 rule (Working Test + Reader Test), only tokens that pass at least one check enter the retained hedge set. Candidates that fail both are logged as false positives and do not count in the 65. P-only mitigation could in principle have been retained if the Reader Test held without a truth-commitment change. In this corpus no such P forms appeared (P = 0). Lead support for that null is the Non-retained inventory scan of interpersonal forms, not a Step 2 exclusion of politeness. Framing and sequencing connectors (e.g. Hence, Thus, In conclusion) that failed both tests were logged on a separate non-retained inventory sheet; they are not part of the 58 category-coded FPs (FP-Gen 33, FP-Rec 15, FP-Cap 8, FP-Proc 2).
    </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
        Functions:
         EC = uncertainty about a claim’s truth. P = interpersonal softening/deference. FP = fails Working Test and Reader Test (not a function).
    </w:t>
      </w:r>
      <w:r>
        <w:rPr>
          <w:rFonts w:ascii="Georgia" w:hAnsi="Georgia" w:cs="Georgia" w:eastAsia="Georgia"/>
          <w:sz w:val="22"/>
          <w:szCs w:val="22"/>
          <w:rtl w:val="0"/>
        </w:rPr>
        <w:t xml:space="preserve"/>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
        Steps 1–3:
         Step 1 wide-net candidates. Step 2 = Working Test + Reader Test (remove the device): truth-commitment changes → EC; commitment same but claim more imposing/unattributed/confrontational toward readers or prior work → P; neither → FP. Step 3 = grammatical type on retained P and EC only. Functions = P and EC only. FP is a reject record, not a function.
    </w:t>
      </w:r>
      <w:r>
        <w:rPr>
          <w:rFonts w:ascii="Georgia" w:hAnsi="Georgia" w:cs="Georgia" w:eastAsia="Georgia"/>
          <w:sz w:val="22"/>
          <w:szCs w:val="22"/>
        </w:rPr>
        <w:t xml:space="preserve"/>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1 (wide net). After the holistic read, mark all possible hedge candidates. This step does not count retained hedges.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 (function by paired removal checks). For each candidate, remove the device and ask what changes. Working Test: commitment to the truth of the proposition changes → retain as EC. Reader Test: truth-commitment stays the same, but the claim becomes more imposing, unattributed, or confrontational toward readers or prior work → retain as P. Neither changes → not a hedge; log as FP (not a function). Both may hold on one token (EC+P).
    </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xml:space="preserve">
        • Working Test and Reader Test are the Step 2 function gate. FP-Rec, FP-Cap, FP-Proc, and FP-Gen (topic-naming and related) are screened out first by category rule, before the removal checks. FP therefore means excluded by category or failed both the Working Test and the Reader Test.
    </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3 (type). On retained P and EC tokens only, assign grammatical type (modal, lexical, adverbial, clause-level). Function is already fixed at Step 2 (Working Test and/or Reader Test). FP is not labeled at Step 3.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xml:space="preserve">
        • Order. Coding order: full abstract → Step 1 → Step 2 (Working Test + Reader Test) → Decision Rules → Step 3 type on retained P and EC → Coder Notes. Deontic advice is never retained (FP-Rec).
    </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EC (Working Test): “The treatment may reduce infection rates.” Removing may raises truth-commitment → EC.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(Reader Test): “As suggested by previous researchers, the treatment is effective.” Removing the attribution leaves truth-commitment intact but makes the claim more unattributed/imposing toward prior work → P.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Frame + separate EC: “It should be noted that the results may indicate growth.” Code may via Working Test as EC. The frame alone fails both tests and is not a second hedge.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Summary: Step 1 is wide. Step 2 assigns function with the Working Test (EC) and Reader Test (P). Neither → FP (not a function). Step 3 assigns type to retained hedges only. In this corpus all 65 retained tokens were EC. No P forms appeared. FP cases are inventoried separately.
    </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
        Apply these category rules before the Working Test or Reader Test on ambiguous tokens.
    </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