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cohort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r>
        <w:rPr>
          <w:rFonts w:ascii="Georgia" w:hAnsi="Georgia"/>
          <w:sz w:val="22"/>
        </w:rPr>
        <w:t>Takimoto, M. (2015). Assertions and lexical invisibility in EFL learners’ academic essays. Journal of Pragmatics, 89, 85–99. https://doi.org/10.1016/j.pragma.2015.10.003</w:t>
      </w: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native English writers and Iranian non-native writers, and coded hedges according to Crompton’s (1997) taxonomy. Native English writers used more hedging devices overall. Non-native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Hu and Cao (2011) add publication medium and evidence type.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For developing writers in L2 settings, that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pPr>
        <w:spacing w:line="480" w:lineRule="auto" w:before="0" w:after="0"/>
        <w:ind w:firstLine="720"/>
        <w:jc w:val="both"/>
      </w:pPr>
      <w:r>
        <w:rPr>
          <w:rFonts w:ascii="Georgia" w:hAnsi="Georgia" w:eastAsia="Georgia"/>
          <w:sz w:val="22"/>
        </w:rPr>
        <w:t>English is the medium of academic writing at PSAU, but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had greater difficulty conveying a precise degree of certainty than their L1 peers. That pattern set the baseline still cited across EFL research: L2 academic writers often under-qualify claims or overuse a small set of strong forms.</w:t>
      </w:r>
    </w:p>
    <w:p>
      <w:pPr>
        <w:spacing w:line="480" w:lineRule="auto" w:before="0" w:after="0"/>
        <w:ind w:firstLine="720"/>
        <w:jc w:val="both"/>
      </w:pPr>
      <w:r>
        <w:rPr>
          <w:rFonts w:ascii="Georgia" w:hAnsi="Georgia" w:eastAsia="Georgia"/>
          <w:sz w:val="22"/>
        </w:rPr>
        <w:t>Hinkel (2005) sharpens the formal picture with a large student-essay corpus (745 essays, about 221,000 words). Non-native writers used a severely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native and non-native writers of English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eastAsia="Georgia"/>
          <w:sz w:val="22"/>
        </w:rPr>
        <w:t>Takimoto (2015) adds a recognition layer. In a corpus comparison of academic essays by Japanese EFL learners and native speakers of English, the EFL group used more boosters than hedges and preferred straightforward, explicit expressions, whereas native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Luo’s (2021) systematic review of undergraduate English language learners’ hedging reaches a similar aggregate conclusion: ELLs generally use fewer hedges than native speakers, draw on a narrower inventory, and face combined challenges of academic experience and L2 form control.</w:t>
      </w:r>
    </w:p>
    <w:p>
      <w:pPr>
        <w:spacing w:line="480" w:lineRule="auto" w:before="0" w:after="0"/>
        <w:ind w:firstLine="720"/>
        <w:jc w:val="both"/>
      </w:pPr>
      <w:r>
        <w:rPr>
          <w:rFonts w:ascii="Georgia" w:hAnsi="Georgia" w:eastAsia="Georgia"/>
          <w:sz w:val="22"/>
        </w:rPr>
        <w:t>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 Halabisaz et al. (2014), already noted for thesis abstracts, attributed native–non-native differences in applied-linguistics master’s abstracts to rhetorical sensitivity and cultural background as well as to form. Ghia et al. (2022) showed that advanced Italian EFL undergraduates writing English thesis abstracts still used fewer hedges and more boosters and certainty modals than L1 student writing in MICUSP, even while displaying partial awareness of academic caution.</w:t>
      </w:r>
    </w:p>
    <w:p>
      <w:pPr>
        <w:spacing w:line="480" w:lineRule="auto" w:before="0" w:after="0"/>
        <w:ind w:firstLine="720"/>
        <w:jc w:val="both"/>
      </w:pPr>
      <w:r>
        <w:rPr>
          <w:rFonts w:ascii="Georgia" w:hAnsi="Georgia" w:eastAsia="Georgia"/>
          <w:sz w:val="22"/>
        </w:rPr>
        <w:t>Instruction and regional student populations push the same themes into classroom-facing research. Petchkij (2019) argues that explicit teaching of hedges can raise their use in Thai EFL contexts, though modal forms often remain dominant. Ningrum, Puspita, and Mulyadi (2024) examine hedges and boosters in the academic writing of ASEAN EFL learners and document limited inventories under regional L2 conditions. Lopez et al. (2025) and Escalona (2025) extend the Philippine and college-essay evidence on caution, certainty, and proficiency-related patterns in student writing. Bayraktar-Çepni and Kulaksız (2022) compare hedging in discussion sections of ELT MA and PhD theses and find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eastAsia="Georgia"/>
          <w:sz w:val="22"/>
        </w:rPr>
        <w:t>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tl w:val="0"/>
        </w:rPr>
        <w:t>Philippine and regional findings align with this picture. Ningrum et al. (2024) report that ASEAN learner data, including Philippine samples, show a preference for boosters over hedges and overuse of intensifiers such as completely, really, and always. Escalona (2025) and Lopez et al. (2025), in local college essay studies, find developing-stage proficiency with epistemic modals dominant and only modest differences by major field. Those studies examine essays rather than thesis abstracts, so they cannot be read as direct predictions for the present corpus. They do show that Philippine L2 academic English often leans on a small modal set and on intensifying rather than softening moves.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Imataki and Kobayashi (2024) report measurable disciplinary differences in expert abstracts for features such as voice and nominalization, which shows that field norms reach even the shortest research genres.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Across the literature, expert writers show measurable disciplinary differentiation in hedging shaped by epistemic demands rather than a simple hard-or-soft divide (Salager-Meyer, 1994; Afshar et al., 2014; Wang, 2022; Xie &amp; Mi, 2023). Developing researchers across contexts show limited hedge variety and tend to default to modal verbs (Khunasathitchai et al., 2025; Wang, 2022; Ghia et al., 2022; Mazidah et al., 2022; Halabisaz et al., 2014).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p>
    <w:p>
      <w:r>
        <w:t>Definitions of hedging in academic writing are not uniform. Hyland (1998) treats hedges as linguistic means that signal either reduced commitment to the truth of a proposition or a preference not to express that commitment categorically. His polypragmatic model distinguishes content-oriented hedges, which manage accuracy and reliability of the claim, from reader-oriented hedges, which manage interpersonal effects on the audience. Salager-Meyer (1994) frames the same devices as tools for claim-responsibility management. Writers distribute responsibility for a statement’s accuracy among themselves, their data, and external conditions. Crompton (1997) argues that the term is most useful when reserved for epistemic modality attached to knowledge claims, and that extending hedge to every politeness-related feature of academic prose weakens the concept. Those positions leave open whether directives and recommendations, which manage action rather than the truth of a claim, should count as hedges. The present study takes a claim-centered stance. A hedge is coded only when a device changes the writer’s stance toward a proposition that evidence could show to be wrong. Epistemic caution captures reduced commitment to that claim’s truth. Politeness/deference captures interpersonal softening of the same claim. Softened recommendations are logged as false positives under this scope, not as evidence that politeness is absent from the writers’ repertoire.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