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2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Pr>
          <w:rFonts w:ascii="Georgia" w:hAnsi="Georgia" w:eastAsia="Georgia"/>
          <w:b w:val="0"/>
          <w:sz w:val="22"/>
        </w:rPr>
        <w:t>Ambiguous forms such as can, potential, indicating, and possibility may function either as epistemic hedges or as non-epistemic lexical items depending on context. Table 1 summarizes how the claim condition and the two removal checks are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2"/>
        <w:tblW w:w="8307.0" w:type="dxa"/>
        <w:jc w:val="left"/>
        <w:tblInd w:w="-223.0" w:type="dxa"/>
        <w:tblLayout w:type="fixed"/>
        <w:tblLook w:val="0400"/>
      </w:tblPr>
      <w:tblGrid>
        <w:gridCol w:w="2769"/>
        <w:gridCol w:w="2769"/>
        <w:gridCol w:w="2769"/>
      </w:tblGrid>
      <w:tr>
        <w:tc>
          <w:tcPr>
            <w:tcW w:w="2769" w:type="dxa"/>
            <w:tcBorders>
              <w:top w:color="000000" w:space="0" w:sz="18" w:val="single"/>
              <w:bottom w:color="000000" w:space="0" w:sz="4" w:val="single"/>
            </w:tcBorders>
          </w:tcPr>
          <w:p>
            <w:pPr>
              <w:spacing w:before="0" w:after="0" w:line="240" w:lineRule="auto"/>
              <w:jc w:val="left"/>
            </w:pPr>
            <w:r>
              <w:rPr>
                <w:b/>
                <w:sz w:val="18"/>
              </w:rPr>
              <w:t>Token / construction</w:t>
            </w:r>
          </w:p>
        </w:tc>
        <w:tc>
          <w:tcPr>
            <w:tcW w:w="2769" w:type="dxa"/>
            <w:tcBorders>
              <w:top w:color="000000" w:space="0" w:sz="18" w:val="single"/>
              <w:bottom w:color="000000" w:space="0" w:sz="4" w:val="single"/>
            </w:tcBorders>
          </w:tcPr>
          <w:p>
            <w:pPr>
              <w:spacing w:before="0" w:after="0" w:line="240" w:lineRule="auto"/>
              <w:jc w:val="left"/>
            </w:pPr>
            <w:r>
              <w:rPr>
                <w:b/>
                <w:sz w:val="18"/>
              </w:rPr>
              <w:t>Hedge when</w:t>
            </w:r>
          </w:p>
        </w:tc>
        <w:tc>
          <w:tcPr>
            <w:tcW w:w="2769" w:type="dxa"/>
            <w:tcBorders>
              <w:top w:color="000000" w:space="0" w:sz="18" w:val="single"/>
              <w:bottom w:color="000000" w:space="0" w:sz="4" w:val="single"/>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can + active content verb (e.g., enhance, promote, reduce, help)</w:t>
            </w:r>
          </w:p>
        </w:tc>
        <w:tc>
          <w:tcPr>
            <w:tcW w:w="2769" w:type="dxa"/>
          </w:tcPr>
          <w:p>
            <w:pPr>
              <w:spacing w:before="0" w:after="0" w:line="240" w:lineRule="auto"/>
              <w:jc w:val="left"/>
            </w:pPr>
            <w:r>
              <w:rPr>
                <w:b w:val="0"/>
                <w:sz w:val="18"/>
              </w:rPr>
              <w:t>Removing can raises the epistemic weight of a finding-claim (possibility reading).</w:t>
            </w:r>
          </w:p>
        </w:tc>
        <w:tc>
          <w:tcPr>
            <w:tcW w:w="2769" w:type="dxa"/>
          </w:tcPr>
          <w:p>
            <w:pPr>
              <w:spacing w:before="0" w:after="0" w:line="240" w:lineRule="auto"/>
              <w:jc w:val="left"/>
            </w:pPr>
            <w:r>
              <w:rPr>
                <w:b w:val="0"/>
                <w:sz w:val="18"/>
              </w:rPr>
              <w:t>Marks capability or ability only (false positive).</w:t>
            </w:r>
          </w:p>
        </w:tc>
      </w:tr>
      <w:tr>
        <w:tc>
          <w:tcPr>
            <w:tcW w:w="2769" w:type="dxa"/>
          </w:tcPr>
          <w:p>
            <w:pPr>
              <w:spacing w:before="0" w:after="0" w:line="240" w:lineRule="auto"/>
              <w:jc w:val="left"/>
            </w:pPr>
            <w:r>
              <w:rPr>
                <w:b w:val="0"/>
                <w:sz w:val="18"/>
              </w:rPr>
              <w:t>indicating / indicates</w:t>
            </w:r>
          </w:p>
        </w:tc>
        <w:tc>
          <w:tcPr>
            <w:tcW w:w="2769" w:type="dxa"/>
          </w:tcPr>
          <w:p>
            <w:pPr>
              <w:spacing w:before="0" w:after="0" w:line="240" w:lineRule="auto"/>
              <w:jc w:val="left"/>
            </w:pPr>
            <w:r>
              <w:rPr>
                <w:b w:val="0"/>
                <w:sz w:val="18"/>
              </w:rPr>
              <w:t>Introduces an inference beyond the operational definition of the result.</w:t>
            </w:r>
          </w:p>
        </w:tc>
        <w:tc>
          <w:tcPr>
            <w:tcW w:w="2769" w:type="dxa"/>
          </w:tcPr>
          <w:p>
            <w:pPr>
              <w:spacing w:before="0" w:after="0" w:line="240" w:lineRule="auto"/>
              <w:jc w:val="left"/>
            </w:pPr>
            <w:r>
              <w:rPr>
                <w:b w:val="0"/>
                <w:sz w:val="18"/>
              </w:rPr>
              <w:t>Restates a field-standard threshold or the operational meaning of the measure (false positive).</w:t>
            </w:r>
          </w:p>
        </w:tc>
      </w:tr>
      <w:tr>
        <w:tc>
          <w:tcPr>
            <w:tcW w:w="2769" w:type="dxa"/>
          </w:tcPr>
          <w:p>
            <w:pPr>
              <w:spacing w:before="0" w:after="0" w:line="240" w:lineRule="auto"/>
              <w:jc w:val="left"/>
            </w:pPr>
            <w:r>
              <w:rPr>
                <w:b w:val="0"/>
                <w:sz w:val="18"/>
              </w:rPr>
              <w:t>potential + noun</w:t>
            </w:r>
          </w:p>
        </w:tc>
        <w:tc>
          <w:tcPr>
            <w:tcW w:w="2769" w:type="dxa"/>
          </w:tcPr>
          <w:p>
            <w:pPr>
              <w:spacing w:before="0" w:after="0" w:line="240" w:lineRule="auto"/>
              <w:jc w:val="left"/>
            </w:pPr>
            <w:r>
              <w:rPr>
                <w:b w:val="0"/>
                <w:sz w:val="18"/>
              </w:rPr>
              <w:t>Results or conclusion frame that qualifies a finding-claim, and the Working Test holds.</w:t>
            </w:r>
          </w:p>
        </w:tc>
        <w:tc>
          <w:tcPr>
            <w:tcW w:w="2769" w:type="dxa"/>
          </w:tcPr>
          <w:p>
            <w:pPr>
              <w:spacing w:before="0" w:after="0" w:line="240" w:lineRule="auto"/>
              <w:jc w:val="left"/>
            </w:pPr>
            <w:r>
              <w:rPr>
                <w:b w:val="0"/>
                <w:sz w:val="18"/>
              </w:rPr>
              <w:t>Aim or methods clause (non-claim / topic-naming; fails the claim condition).</w:t>
            </w:r>
          </w:p>
        </w:tc>
      </w:tr>
      <w:tr>
        <w:tc>
          <w:tcPr>
            <w:tcW w:w="2769" w:type="dxa"/>
          </w:tcPr>
          <w:p>
            <w:pPr>
              <w:spacing w:before="0" w:after="0" w:line="240" w:lineRule="auto"/>
              <w:jc w:val="left"/>
            </w:pPr>
            <w:r>
              <w:rPr>
                <w:b w:val="0"/>
                <w:sz w:val="18"/>
              </w:rPr>
              <w:t>possibility + noun</w:t>
            </w:r>
          </w:p>
        </w:tc>
        <w:tc>
          <w:tcPr>
            <w:tcW w:w="2769" w:type="dxa"/>
          </w:tcPr>
          <w:p>
            <w:pPr>
              <w:spacing w:before="0" w:after="0" w:line="240" w:lineRule="auto"/>
              <w:jc w:val="left"/>
            </w:pPr>
            <w:r>
              <w:rPr>
                <w:b w:val="0"/>
                <w:sz w:val="18"/>
              </w:rPr>
              <w:t>Same claim-condition treatment as potential when the host is a finding-claim.</w:t>
            </w:r>
          </w:p>
        </w:tc>
        <w:tc>
          <w:tcPr>
            <w:tcW w:w="2769" w:type="dxa"/>
          </w:tcPr>
          <w:p>
            <w:pPr>
              <w:spacing w:before="0" w:after="0" w:line="240" w:lineRule="auto"/>
              <w:jc w:val="left"/>
            </w:pPr>
            <w:r>
              <w:rPr>
                <w:b w:val="0"/>
                <w:sz w:val="18"/>
              </w:rPr>
              <w:t>Aim or method sentence (non-claim).</w:t>
            </w:r>
          </w:p>
        </w:tc>
      </w:tr>
      <w:tr>
        <w:tc>
          <w:tcPr>
            <w:tcW w:w="2769" w:type="dxa"/>
            <w:tcBorders>
              <w:bottom w:color="000000" w:space="0" w:sz="18" w:val="single"/>
            </w:tcBorders>
          </w:tcPr>
          <w:p>
            <w:pPr>
              <w:spacing w:before="0" w:after="0" w:line="240" w:lineRule="auto"/>
              <w:jc w:val="left"/>
            </w:pPr>
            <w:r>
              <w:rPr>
                <w:b w:val="0"/>
                <w:sz w:val="18"/>
              </w:rPr>
              <w:t>Multiple hedge-like tokens in one sentence</w:t>
            </w:r>
          </w:p>
        </w:tc>
        <w:tc>
          <w:tcPr>
            <w:tcW w:w="2769" w:type="dxa"/>
            <w:tcBorders>
              <w:bottom w:color="000000" w:space="0" w:sz="18" w:val="single"/>
            </w:tcBorders>
          </w:tcPr>
          <w:p>
            <w:pPr>
              <w:spacing w:before="0" w:after="0" w:line="240" w:lineRule="auto"/>
              <w:jc w:val="left"/>
            </w:pPr>
            <w:r>
              <w:rPr>
                <w:b w:val="0"/>
                <w:sz w:val="18"/>
              </w:rPr>
              <w:t>Each token is tested on its own host clause under the claim condition and the two removal checks.</w:t>
            </w:r>
          </w:p>
        </w:tc>
        <w:tc>
          <w:tcPr>
            <w:tcW w:w="2769" w:type="dxa"/>
            <w:tcBorders>
              <w:bottom w:color="000000" w:space="0" w:sz="18" w:val="single"/>
            </w:tcBorders>
          </w:tcPr>
          <w:p>
            <w:pPr>
              <w:spacing w:before="0" w:after="0" w:line="240" w:lineRule="auto"/>
              <w:jc w:val="left"/>
            </w:pPr>
            <w:r>
              <w:rPr>
                <w:b w:val="0"/>
                <w:sz w:val="18"/>
              </w:rPr>
              <w:t>A preceding hedge (e.g., suggest) does not determine the function of another token (e.g., can).</w:t>
            </w:r>
          </w:p>
        </w:tc>
      </w:tr>
    </w:tbl>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3 presents the distribution of hedge types across the full corpus.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b/>
          <w:sz w:val="22"/>
        </w:rPr>
        <w:t>Table 3</w:t>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Pr>
          <w:rFonts w:ascii="Georgia" w:hAnsi="Georgia" w:eastAsia="Georgia"/>
          <w:b w:val="0"/>
          <w:sz w:val="22"/>
        </w:rPr>
        <w:t>Table 3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ind w:firstLine="0"/>
        <w:jc w:val="center"/>
        <w:rPr/>
      </w:pPr>
      <w:r>
        <w:rPr>
          <w:rFonts w:ascii="Georgia" w:hAnsi="Georgia" w:eastAsia="Georgia"/>
          <w:b/>
          <w:sz w:val="22"/>
        </w:rPr>
        <w:t>Table 4</w:t>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jc w:val="both"/>
        <w:rPr/>
      </w:pPr>
      <w:r>
        <w:rPr>
          <w:rFonts w:ascii="Georgia" w:hAnsi="Georgia" w:eastAsia="Georgia"/>
          <w:b w:val="0"/>
          <w:sz w:val="22"/>
        </w:rPr>
        <w:t>Table 4 lists every retained hedge form in the corpus with its grammatical type and count. Counts sum to 65. Surface forms of the same root are listed separately here so each tally line can be checked against the coding sheet.</w:t>
      </w:r>
    </w:p>
    <w:p w:rsidR="00000000" w:rsidDel="00000000" w:rsidP="00000000" w:rsidRDefault="00000000" w:rsidRPr="00000000" w14:paraId="00000106">
      <w:pPr>
        <w:spacing w:after="0" w:before="0" w:line="480" w:lineRule="auto"/>
        <w:ind w:firstLine="720"/>
        <w:jc w:val="both"/>
        <w:rPr/>
      </w:pPr>
      <w:r>
        <w:rPr>
          <w:rFonts w:ascii="Georgia" w:hAnsi="Georgia" w:eastAsia="Georgia"/>
          <w:b w:val="0"/>
          <w:sz w:val="22"/>
        </w:rPr>
        <w:t>The distribution of hedge types shows cross-disciplinary differences, most clearly in Veterinary Medicine’s small total and low modal share. Table 5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ind w:firstLine="0"/>
        <w:jc w:val="center"/>
        <w:rPr/>
      </w:pPr>
      <w:r>
        <w:rPr>
          <w:rFonts w:ascii="Georgia" w:hAnsi="Georgia" w:eastAsia="Georgia"/>
          <w:b/>
          <w:sz w:val="22"/>
        </w:rPr>
        <w:t>Table 5</w:t>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Pr>
          <w:rFonts w:ascii="Georgia" w:hAnsi="Georgia" w:eastAsia="Georgia"/>
          <w:b w:val="0"/>
          <w:sz w:val="22"/>
        </w:rPr>
        <w:t>Table 5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b w:val="0"/>
          <w:sz w:val="22"/>
        </w:rPr>
        <w:t>Alongside the 65 retained epistemic caution hedges (and no politeness/deference tokens), the corpus yielded 65 false positive tokens, hedge-like words that failed the claim condition or both removal checks at Step 2. Table 7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b w:val="0"/>
          <w:sz w:val="22"/>
        </w:rPr>
        <w:t>Cross-disciplinary comparison shows differences in hedge density, driven mainly by Veterinary Medicine’s lower rate. Table 6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Georgia"/>
          <w:b/>
          <w:sz w:val="22"/>
        </w:rPr>
        <w:t>Table 6</w:t>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Pr>
          <w:rFonts w:ascii="Georgia" w:hAnsi="Georgia" w:eastAsia="Georgia"/>
          <w:b w:val="0"/>
          <w:sz w:val="22"/>
        </w:rPr>
        <w:t>Table 6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b w:val="0"/>
          <w:sz w:val="22"/>
        </w:rPr>
        <w:t>Table 7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b/>
          <w:sz w:val="22"/>
        </w:rPr>
        <w:t>Table 7</w:t>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b/>
          <w:sz w:val="22"/>
        </w:rPr>
        <w:t>Table 8</w:t>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Georgia" w:hAnsi="Georgia" w:eastAsia="Georgia"/>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8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Georgia" w:hAnsi="Georgia" w:eastAsia="Georgia"/>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6),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