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Times New Roman" w:hAnsi="Times New Roman"/>
          <w:sz w:val="24"/>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Stage 2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candidate tagging cast a wide net: hedge-like forms, findings framing or sequencing, and forms that might later prove to be false positives were marked for inspection. This step did not yet count hedges. Second, each candidate was sorted.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Stage 2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Stage 2.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the sort step. They are not mutually exclusive. Interpersonal or discourse effects can co-occur with epistemic stance on a retained token. Candidate tagging may include pure findings framing so that discourse organization is inspected rather than ignored. That pure framing fails the sort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sort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The analytical pipeline moves from hedge identification through frequency analysis and cross-disciplinary comparison to functional and interpretive reading. Figure 1 also carries the source jobs used in this study: Hyland (1998) as coding instrument for types and the EC/P starting point, Crompton (1997) as Stage 2 EC boundary rule, Salager-Meyer (1994) as Part IV interpretive lens on claim responsibility, and Hyland (2005) as stance lens where results turn into implications.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val="0"/>
          <w:bCs/>
        </w:rPr>
        <w:t>Epistemic Weight, conceptually, epistemic weight is the strength of the writer’s commitment to the truth of a proposition (how certain or tentative the claim is). Operationally, a change in epistemic weight supports an EC function label at Stage 2. The sort step uses the broader force / directness test on knowledge claims (imposition only as interpersonal softening of a claim, not as a directive).</w:t>
      </w:r>
      <w:r>
        <w:rPr>
          <w:rFonts w:ascii="Georgia" w:hAnsi="Georgia" w:cs="Georgia" w:eastAsia="Georgia"/>
          <w:i w:val="0"/>
          <w:iCs w:val="0"/>
          <w:sz w:val="22"/>
          <w:szCs w:val="22"/>
          <w:rtl w:val="0"/>
          <w:b w:val="0"/>
          <w:bCs w:val="0"/>
        </w:rPr>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sz w:val="22"/>
          <w:b w:val="0"/>
          <w:bCs w:val="0"/>
        </w:rPr>
        <w:t>Softening, conceptually, softening is the reduction of force, directness, imposition, or interpersonal impact in a statement. Operationally, the sort step tracks softening of force or directness on knowledge claims (and interpersonal imposition on how claims are put forward). Stage 2 labels retained hedges as epistemic (EC), interpersonal (P), and/or discourse-managing (DO) where co-occurrence applies. Directives remain excluded.</w:t>
      </w:r>
      <w:r>
        <w:rPr>
          <w:rFonts w:ascii="Georgia" w:hAnsi="Georgia" w:cs="Georgia" w:eastAsia="Georgia"/>
          <w:b w:val="0"/>
          <w:i w:val="0"/>
          <w:sz w:val="22"/>
        </w:rPr>
      </w:r>
      <w:r>
        <w:rPr>
          <w:rFonts w:ascii="Georgia" w:hAnsi="Georgia" w:cs="Georgia" w:eastAsia="Georgia"/>
          <w:b w:val="0"/>
          <w:i w:val="0"/>
          <w:sz w:val="22"/>
          <w:color w:val="000000"/>
        </w:rPr>
      </w:r>
      <w:r>
        <w:rPr>
          <w:rFonts w:ascii="Georgia" w:hAnsi="Georgia" w:cs="Georgia" w:eastAsia="Georgia"/>
          <w:b w:val="0"/>
          <w:i w:val="0"/>
          <w:sz w:val="22"/>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4"/>
          <w:szCs w:val="24"/>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Times New Roman" w:hAnsi="Times New Roman" w:eastAsia="Times New Roman"/>
          <w:i w:val="0"/>
          <w:sz w:val="24"/>
        </w:rPr>
        <w:t xml:space="preserve">Afshar, H. S., Moradi, M., &amp; Hamzavi, R. (2014). Frequency and type of hedging devices used in the research articles of humanities, basic sciences and agriculture. </w:t>
      </w:r>
      <w:r>
        <w:rPr>
          <w:rFonts w:ascii="Times New Roman" w:hAnsi="Times New Roman" w:eastAsia="Times New Roman"/>
          <w:i/>
          <w:sz w:val="24"/>
        </w:rPr>
        <w:t>Procedia – Social and Behavioral Sciences, 136</w:t>
      </w:r>
      <w:r>
        <w:rPr>
          <w:rFonts w:ascii="Times New Roman" w:hAnsi="Times New Roman" w:eastAsia="Times New Roman"/>
          <w:i w:val="0"/>
          <w:sz w:val="24"/>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Times New Roman" w:hAnsi="Times New Roman" w:eastAsia="Times New Roman"/>
          <w:i w:val="0"/>
          <w:sz w:val="24"/>
        </w:rPr>
        <w:t xml:space="preserve">Biber, D., Conrad, S., &amp; Reppen, R. (1998). </w:t>
      </w:r>
      <w:r>
        <w:rPr>
          <w:rFonts w:ascii="Times New Roman" w:hAnsi="Times New Roman" w:eastAsia="Times New Roman"/>
          <w:i/>
          <w:sz w:val="24"/>
        </w:rPr>
        <w:t>Corpus linguistics: Investigating language structure and use</w:t>
      </w:r>
      <w:r>
        <w:rPr>
          <w:rFonts w:ascii="Times New Roman" w:hAnsi="Times New Roman" w:eastAsia="Times New Roman"/>
          <w:i w:val="0"/>
          <w:sz w:val="24"/>
        </w:rPr>
        <w:t>. Cambridge University Press.</w:t>
      </w:r>
    </w:p>
    <w:p>
      <w:pPr>
        <w:spacing w:before="0" w:after="0" w:line="480" w:lineRule="auto"/>
        <w:ind w:left="720" w:hanging="720"/>
        <w:jc w:val="left"/>
        <w:rPr/>
      </w:pPr>
      <w:r>
        <w:rPr>
          <w:rFonts w:ascii="Times New Roman" w:hAnsi="Times New Roman" w:eastAsia="Times New Roman"/>
          <w:i w:val="0"/>
          <w:sz w:val="24"/>
        </w:rPr>
        <w:t xml:space="preserve">Crompton, P. (1997). Hedging in academic writing: Some theoretical problems. </w:t>
      </w:r>
      <w:r>
        <w:rPr>
          <w:rFonts w:ascii="Times New Roman" w:hAnsi="Times New Roman" w:eastAsia="Times New Roman"/>
          <w:i/>
          <w:sz w:val="24"/>
        </w:rPr>
        <w:t>English for Specific Purposes, 16</w:t>
      </w:r>
      <w:r>
        <w:rPr>
          <w:rFonts w:ascii="Times New Roman" w:hAnsi="Times New Roman" w:eastAsia="Times New Roman"/>
          <w:i w:val="0"/>
          <w:sz w:val="24"/>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Times New Roman" w:hAnsi="Times New Roman" w:eastAsia="Times New Roman"/>
          <w:i w:val="0"/>
          <w:sz w:val="24"/>
        </w:rPr>
        <w:t xml:space="preserve">Demir, C. (2018). Hedging and academic writing: An analysis of lexical hedges. </w:t>
      </w:r>
      <w:r>
        <w:rPr>
          <w:rFonts w:ascii="Times New Roman" w:hAnsi="Times New Roman" w:eastAsia="Times New Roman"/>
          <w:i/>
          <w:sz w:val="24"/>
        </w:rPr>
        <w:t>Journal of Language and Linguistic Studies, 14</w:t>
      </w:r>
      <w:r>
        <w:rPr>
          <w:rFonts w:ascii="Times New Roman" w:hAnsi="Times New Roman" w:eastAsia="Times New Roman"/>
          <w:i w:val="0"/>
          <w:sz w:val="24"/>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Times New Roman" w:hAnsi="Times New Roman" w:eastAsia="Times New Roman"/>
          <w:i w:val="0"/>
          <w:sz w:val="24"/>
        </w:rPr>
        <w:t xml:space="preserve">Escalona, S. L. (2025). Hedges and boosters in college essays: A study of linguistic modulation in student writing. </w:t>
      </w:r>
      <w:r>
        <w:rPr>
          <w:rFonts w:ascii="Times New Roman" w:hAnsi="Times New Roman" w:eastAsia="Times New Roman"/>
          <w:i/>
          <w:sz w:val="24"/>
        </w:rPr>
        <w:t>International Journal of English Literature and Social Sciences, 10</w:t>
      </w:r>
      <w:r>
        <w:rPr>
          <w:rFonts w:ascii="Times New Roman" w:hAnsi="Times New Roman" w:eastAsia="Times New Roman"/>
          <w:i w:val="0"/>
          <w:sz w:val="24"/>
        </w:rPr>
        <w:t>(1), 7–17. https://doi.org/10.22161/ijels.101.2</w:t>
      </w:r>
    </w:p>
    <w:p>
      <w:pPr>
        <w:spacing w:before="0" w:after="0" w:line="480" w:lineRule="auto"/>
        <w:ind w:left="720" w:hanging="720"/>
        <w:jc w:val="left"/>
        <w:rPr/>
      </w:pPr>
      <w:r>
        <w:rPr>
          <w:rFonts w:ascii="Times New Roman" w:hAnsi="Times New Roman" w:eastAsia="Times New Roman"/>
          <w:i w:val="0"/>
          <w:sz w:val="24"/>
        </w:rPr>
        <w:t xml:space="preserve">Ghia, E., Petrocelli, E., &amp; Pizziconi, S. (2022). Data possibly suggest… Hedging in second language writing: A study on advanced Italian EFL learners. </w:t>
      </w:r>
      <w:r>
        <w:rPr>
          <w:rFonts w:ascii="Times New Roman" w:hAnsi="Times New Roman" w:eastAsia="Times New Roman"/>
          <w:i/>
          <w:sz w:val="24"/>
        </w:rPr>
        <w:t>Belgrade English Language and Literature Studies, 14</w:t>
      </w:r>
      <w:r>
        <w:rPr>
          <w:rFonts w:ascii="Times New Roman" w:hAnsi="Times New Roman" w:eastAsia="Times New Roman"/>
          <w:i w:val="0"/>
          <w:sz w:val="24"/>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Times New Roman" w:hAnsi="Times New Roman" w:eastAsia="Times New Roman"/>
          <w:i w:val="0"/>
          <w:sz w:val="24"/>
        </w:rPr>
        <w:t xml:space="preserve">Hamidi, H., Najafi Sarem, S., &amp; Lotfi, A. H. (2025). Exploring hedging devices in scientific research papers: A content analysis study of the Medical Journal of the Islamic Republic of Iran. </w:t>
      </w:r>
      <w:r>
        <w:rPr>
          <w:rFonts w:ascii="Times New Roman" w:hAnsi="Times New Roman" w:eastAsia="Times New Roman"/>
          <w:i/>
          <w:sz w:val="24"/>
        </w:rPr>
        <w:t>Medical Journal of the Islamic Republic of Iran, 39</w:t>
      </w:r>
      <w:r>
        <w:rPr>
          <w:rFonts w:ascii="Times New Roman" w:hAnsi="Times New Roman" w:eastAsia="Times New Roman"/>
          <w:i w:val="0"/>
          <w:sz w:val="24"/>
        </w:rPr>
        <w:t>, Article 125. https://pmc.ncbi.nlm.nih.gov/articles/PMC12584097/</w:t>
      </w:r>
    </w:p>
    <w:p>
      <w:pPr>
        <w:spacing w:before="0" w:after="0" w:line="480" w:lineRule="auto"/>
        <w:ind w:left="720" w:hanging="720"/>
        <w:jc w:val="left"/>
        <w:rPr/>
      </w:pPr>
      <w:r>
        <w:rPr>
          <w:rFonts w:ascii="Times New Roman" w:hAnsi="Times New Roman" w:eastAsia="Times New Roman"/>
          <w:i w:val="0"/>
          <w:sz w:val="24"/>
        </w:rPr>
        <w:t xml:space="preserve">Hu, G., &amp; Cao, F. (2011). Hedging and boosting in abstracts of applied linguistics articles: A comparative study of English- and Chinese-medium journals. </w:t>
      </w:r>
      <w:r>
        <w:rPr>
          <w:rFonts w:ascii="Times New Roman" w:hAnsi="Times New Roman" w:eastAsia="Times New Roman"/>
          <w:i/>
          <w:sz w:val="24"/>
        </w:rPr>
        <w:t>Journal of Pragmatics, 43</w:t>
      </w:r>
      <w:r>
        <w:rPr>
          <w:rFonts w:ascii="Times New Roman" w:hAnsi="Times New Roman" w:eastAsia="Times New Roman"/>
          <w:i w:val="0"/>
          <w:sz w:val="24"/>
        </w:rPr>
        <w:t>(11), 2795–2809. https://doi.org/10.1016/j.pragma.2011.04.007</w:t>
      </w:r>
    </w:p>
    <w:p>
      <w:pPr>
        <w:spacing w:before="0" w:after="0" w:line="480" w:lineRule="auto"/>
        <w:ind w:left="720" w:hanging="720"/>
        <w:jc w:val="left"/>
        <w:rPr/>
      </w:pPr>
      <w:r>
        <w:rPr>
          <w:rFonts w:ascii="Times New Roman" w:hAnsi="Times New Roman" w:eastAsia="Times New Roman"/>
          <w:i w:val="0"/>
          <w:sz w:val="24"/>
        </w:rPr>
        <w:t xml:space="preserve">Hyland, K. (1996). Writing without conviction? Hedging in science research articles. </w:t>
      </w:r>
      <w:r>
        <w:rPr>
          <w:rFonts w:ascii="Times New Roman" w:hAnsi="Times New Roman" w:eastAsia="Times New Roman"/>
          <w:i/>
          <w:sz w:val="24"/>
        </w:rPr>
        <w:t>Applied Linguistics, 17</w:t>
      </w:r>
      <w:r>
        <w:rPr>
          <w:rFonts w:ascii="Times New Roman" w:hAnsi="Times New Roman" w:eastAsia="Times New Roman"/>
          <w:i w:val="0"/>
          <w:sz w:val="24"/>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Times New Roman" w:hAnsi="Times New Roman" w:eastAsia="Times New Roman"/>
          <w:i w:val="0"/>
          <w:sz w:val="24"/>
        </w:rPr>
        <w:t xml:space="preserve">Hyland, K. (1998). </w:t>
      </w:r>
      <w:r>
        <w:rPr>
          <w:rFonts w:ascii="Times New Roman" w:hAnsi="Times New Roman" w:eastAsia="Times New Roman"/>
          <w:i/>
          <w:sz w:val="24"/>
        </w:rPr>
        <w:t>Hedging in scientific research articles</w:t>
      </w:r>
      <w:r>
        <w:rPr>
          <w:rFonts w:ascii="Times New Roman" w:hAnsi="Times New Roman" w:eastAsia="Times New Roman"/>
          <w:i w:val="0"/>
          <w:sz w:val="24"/>
        </w:rPr>
        <w:t>. John Benjamins Publishing.</w:t>
      </w:r>
    </w:p>
    <w:p w:rsidR="00000000" w:rsidDel="00000000" w:rsidP="00000000" w:rsidRDefault="00000000" w:rsidRPr="00000000" w14:paraId="0000018C">
      <w:pPr>
        <w:spacing w:before="0" w:after="0" w:line="480" w:lineRule="auto"/>
        <w:ind w:left="720" w:hanging="720"/>
        <w:jc w:val="left"/>
        <w:rPr/>
      </w:pPr>
      <w:r>
        <w:rPr>
          <w:rFonts w:ascii="Times New Roman" w:hAnsi="Times New Roman" w:eastAsia="Times New Roman"/>
          <w:i w:val="0"/>
          <w:sz w:val="24"/>
        </w:rPr>
        <w:t xml:space="preserve">Hyland, K. (2005). Stance and engagement: A model of interaction in academic discourse. </w:t>
      </w:r>
      <w:r>
        <w:rPr>
          <w:rFonts w:ascii="Times New Roman" w:hAnsi="Times New Roman" w:eastAsia="Times New Roman"/>
          <w:i/>
          <w:sz w:val="24"/>
        </w:rPr>
        <w:t>Discourse Studies, 7</w:t>
      </w:r>
      <w:r>
        <w:rPr>
          <w:rFonts w:ascii="Times New Roman" w:hAnsi="Times New Roman" w:eastAsia="Times New Roman"/>
          <w:i w:val="0"/>
          <w:sz w:val="24"/>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Times New Roman" w:hAnsi="Times New Roman" w:eastAsia="Times New Roman"/>
          <w:i w:val="0"/>
          <w:sz w:val="24"/>
        </w:rPr>
        <w:t xml:space="preserve">Hyland, K., &amp; Milton, J. (1997). Qualification and certainty in L1 and L2 students’ writing. </w:t>
      </w:r>
      <w:r>
        <w:rPr>
          <w:rFonts w:ascii="Times New Roman" w:hAnsi="Times New Roman" w:eastAsia="Times New Roman"/>
          <w:i/>
          <w:sz w:val="24"/>
        </w:rPr>
        <w:t>Journal of Second Language Writing, 6</w:t>
      </w:r>
      <w:r>
        <w:rPr>
          <w:rFonts w:ascii="Times New Roman" w:hAnsi="Times New Roman" w:eastAsia="Times New Roman"/>
          <w:i w:val="0"/>
          <w:sz w:val="24"/>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Times New Roman" w:hAnsi="Times New Roman" w:eastAsia="Times New Roman"/>
          <w:i w:val="0"/>
          <w:sz w:val="24"/>
        </w:rPr>
        <w:t xml:space="preserve">Imataki, N., &amp; Kobayashi, Y. (2024). Analyzing disciplinary variation in abstracts: Linguistic features across scientific and technical fields. </w:t>
      </w:r>
      <w:r>
        <w:rPr>
          <w:rFonts w:ascii="Times New Roman" w:hAnsi="Times New Roman" w:eastAsia="Times New Roman"/>
          <w:i/>
          <w:sz w:val="24"/>
        </w:rPr>
        <w:t>Linguistics and Literature Studies, 12</w:t>
      </w:r>
      <w:r>
        <w:rPr>
          <w:rFonts w:ascii="Times New Roman" w:hAnsi="Times New Roman" w:eastAsia="Times New Roman"/>
          <w:i w:val="0"/>
          <w:sz w:val="24"/>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Times New Roman" w:hAnsi="Times New Roman" w:eastAsia="Times New Roman"/>
          <w:i w:val="0"/>
          <w:sz w:val="24"/>
        </w:rPr>
        <w:t xml:space="preserve">Khunasathitchai, K., Sittironnarit, S., Sinturat, T., &amp; Kumdee, S. (2025). Move analysis and hedge use in the research paper abstracts of Thai EFL English-majored undergraduates. </w:t>
      </w:r>
      <w:r>
        <w:rPr>
          <w:rFonts w:ascii="Times New Roman" w:hAnsi="Times New Roman" w:eastAsia="Times New Roman"/>
          <w:i/>
          <w:sz w:val="24"/>
        </w:rPr>
        <w:t>rEFLections, 32</w:t>
      </w:r>
      <w:r>
        <w:rPr>
          <w:rFonts w:ascii="Times New Roman" w:hAnsi="Times New Roman" w:eastAsia="Times New Roman"/>
          <w:i w:val="0"/>
          <w:sz w:val="24"/>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Times New Roman" w:hAnsi="Times New Roman" w:eastAsia="Times New Roman"/>
          <w:i w:val="0"/>
          <w:sz w:val="24"/>
        </w:rPr>
        <w:t xml:space="preserve">Landis, J. R., &amp; Koch, G. G. (1977). The measurement of observer agreement for categorical data. </w:t>
      </w:r>
      <w:r>
        <w:rPr>
          <w:rFonts w:ascii="Times New Roman" w:hAnsi="Times New Roman" w:eastAsia="Times New Roman"/>
          <w:i/>
          <w:sz w:val="24"/>
        </w:rPr>
        <w:t>Biometrics, 33</w:t>
      </w:r>
      <w:r>
        <w:rPr>
          <w:rFonts w:ascii="Times New Roman" w:hAnsi="Times New Roman" w:eastAsia="Times New Roman"/>
          <w:i w:val="0"/>
          <w:sz w:val="24"/>
        </w:rPr>
        <w:t>(1), 159–174. https://doi.org/10.2307/2529310</w:t>
      </w:r>
    </w:p>
    <w:p>
      <w:pPr>
        <w:spacing w:before="0" w:after="0" w:line="480" w:lineRule="auto"/>
        <w:ind w:left="720" w:hanging="720"/>
        <w:jc w:val="left"/>
        <w:rPr/>
      </w:pPr>
      <w:r>
        <w:rPr>
          <w:rFonts w:ascii="Times New Roman" w:hAnsi="Times New Roman" w:eastAsia="Times New Roman"/>
          <w:i w:val="0"/>
          <w:sz w:val="24"/>
        </w:rPr>
        <w:t xml:space="preserve">Lopez, R. M. C., Pedida, J. A., Alzate, L. J. A., &amp; Eustaquio, M. T. L. (2025). Language of caution and certainty: Writing proficiency in hedges and boosters in student essays. </w:t>
      </w:r>
      <w:r>
        <w:rPr>
          <w:rFonts w:ascii="Times New Roman" w:hAnsi="Times New Roman" w:eastAsia="Times New Roman"/>
          <w:i/>
          <w:sz w:val="24"/>
        </w:rPr>
        <w:t>International Journal of Research and Innovation in Social Science, 9</w:t>
      </w:r>
      <w:r>
        <w:rPr>
          <w:rFonts w:ascii="Times New Roman" w:hAnsi="Times New Roman" w:eastAsia="Times New Roman"/>
          <w:i w:val="0"/>
          <w:sz w:val="24"/>
        </w:rPr>
        <w:t>(11), 6176–6196. https://doi.org/10.47772/IJRISS.2025.91100485</w:t>
      </w:r>
    </w:p>
    <w:p>
      <w:pPr>
        <w:spacing w:before="0" w:after="0" w:line="480" w:lineRule="auto"/>
        <w:ind w:left="720" w:hanging="720"/>
        <w:jc w:val="left"/>
        <w:rPr/>
      </w:pPr>
      <w:r>
        <w:rPr>
          <w:rFonts w:ascii="Times New Roman" w:hAnsi="Times New Roman" w:eastAsia="Times New Roman"/>
          <w:i w:val="0"/>
          <w:sz w:val="24"/>
        </w:rPr>
        <w:t xml:space="preserve">Mazidah, E. N., Cahyani, W. I., &amp; Masruroh, L. (2022). Hedges and boosters in undergraduate thesis abstracts of Qomaruddin University students. </w:t>
      </w:r>
      <w:r>
        <w:rPr>
          <w:rFonts w:ascii="Times New Roman" w:hAnsi="Times New Roman" w:eastAsia="Times New Roman"/>
          <w:i/>
          <w:sz w:val="24"/>
        </w:rPr>
        <w:t>Journal of Education, Humaniora and Social Sciences (JEHSS), 4</w:t>
      </w:r>
      <w:r>
        <w:rPr>
          <w:rFonts w:ascii="Times New Roman" w:hAnsi="Times New Roman" w:eastAsia="Times New Roman"/>
          <w:i w:val="0"/>
          <w:sz w:val="24"/>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Times New Roman" w:hAnsi="Times New Roman" w:eastAsia="Times New Roman"/>
          <w:i w:val="0"/>
          <w:sz w:val="24"/>
        </w:rPr>
        <w:t xml:space="preserve">Mohammed, S. J. (2011). </w:t>
      </w:r>
      <w:r>
        <w:rPr>
          <w:rFonts w:ascii="Times New Roman" w:hAnsi="Times New Roman" w:eastAsia="Times New Roman"/>
          <w:i/>
          <w:sz w:val="24"/>
        </w:rPr>
        <w:t>Lexical hedges: A study of cultural and disciplinary variation in academic research articles</w:t>
      </w:r>
      <w:r>
        <w:rPr>
          <w:rFonts w:ascii="Times New Roman" w:hAnsi="Times New Roman" w:eastAsia="Times New Roman"/>
          <w:i w:val="0"/>
          <w:sz w:val="24"/>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Times New Roman" w:hAnsi="Times New Roman" w:eastAsia="Times New Roman"/>
          <w:i w:val="0"/>
          <w:sz w:val="24"/>
        </w:rPr>
        <w:t xml:space="preserve">Ningrum, S., Puspita, H., &amp; Mulyadi, A. I. (2024). Hedges and boosters in academic writing of ASEAN EFL learners. </w:t>
      </w:r>
      <w:r>
        <w:rPr>
          <w:rFonts w:ascii="Times New Roman" w:hAnsi="Times New Roman" w:eastAsia="Times New Roman"/>
          <w:i/>
          <w:sz w:val="24"/>
        </w:rPr>
        <w:t>Journal of English Education and Teaching, 8</w:t>
      </w:r>
      <w:r>
        <w:rPr>
          <w:rFonts w:ascii="Times New Roman" w:hAnsi="Times New Roman" w:eastAsia="Times New Roman"/>
          <w:i w:val="0"/>
          <w:sz w:val="24"/>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Times New Roman" w:hAnsi="Times New Roman" w:eastAsia="Times New Roman"/>
          <w:i w:val="0"/>
          <w:sz w:val="24"/>
        </w:rPr>
        <w:t xml:space="preserve">Petchkij, W. (2019). Explicit teaching of hedges: Bringing hedging in academic writing into the Thai EFL classroom. </w:t>
      </w:r>
      <w:r>
        <w:rPr>
          <w:rFonts w:ascii="Times New Roman" w:hAnsi="Times New Roman" w:eastAsia="Times New Roman"/>
          <w:i/>
          <w:sz w:val="24"/>
        </w:rPr>
        <w:t>Electronic Journal of Foreign Language Teaching, 16</w:t>
      </w:r>
      <w:r>
        <w:rPr>
          <w:rFonts w:ascii="Times New Roman" w:hAnsi="Times New Roman" w:eastAsia="Times New Roman"/>
          <w:i w:val="0"/>
          <w:sz w:val="24"/>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Times New Roman" w:hAnsi="Times New Roman" w:eastAsia="Times New Roman"/>
          <w:i w:val="0"/>
          <w:sz w:val="24"/>
        </w:rPr>
        <w:t xml:space="preserve">Salager-Meyer, F. (1994). Hedges and textual communicative function in medical English written discourse. </w:t>
      </w:r>
      <w:r>
        <w:rPr>
          <w:rFonts w:ascii="Times New Roman" w:hAnsi="Times New Roman" w:eastAsia="Times New Roman"/>
          <w:i/>
          <w:sz w:val="24"/>
        </w:rPr>
        <w:t>English for Specific Purposes, 13</w:t>
      </w:r>
      <w:r>
        <w:rPr>
          <w:rFonts w:ascii="Times New Roman" w:hAnsi="Times New Roman" w:eastAsia="Times New Roman"/>
          <w:i w:val="0"/>
          <w:sz w:val="24"/>
        </w:rPr>
        <w:t>(2), 149–170. https://doi.org/10.1016/0889-4906(94)90013-2</w:t>
      </w:r>
    </w:p>
    <w:p>
      <w:pPr>
        <w:spacing w:before="0" w:after="0" w:line="480" w:lineRule="auto"/>
        <w:ind w:left="720" w:hanging="720"/>
        <w:jc w:val="left"/>
        <w:rPr/>
      </w:pPr>
      <w:r>
        <w:rPr>
          <w:rFonts w:ascii="Times New Roman" w:hAnsi="Times New Roman" w:eastAsia="Times New Roman"/>
          <w:i w:val="0"/>
          <w:sz w:val="24"/>
        </w:rPr>
        <w:t xml:space="preserve">Souici, F., &amp; Slougui, D. (2022). Hedges in biology research articles: What types and frequency do Algerian authors use? </w:t>
      </w:r>
      <w:r>
        <w:rPr>
          <w:rFonts w:ascii="Times New Roman" w:hAnsi="Times New Roman" w:eastAsia="Times New Roman"/>
          <w:i/>
          <w:sz w:val="24"/>
        </w:rPr>
        <w:t>Journal of Human Sciences, 33</w:t>
      </w:r>
      <w:r>
        <w:rPr>
          <w:rFonts w:ascii="Times New Roman" w:hAnsi="Times New Roman" w:eastAsia="Times New Roman"/>
          <w:i w:val="0"/>
          <w:sz w:val="24"/>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Times New Roman" w:hAnsi="Times New Roman" w:eastAsia="Times New Roman"/>
          <w:i w:val="0"/>
          <w:sz w:val="24"/>
        </w:rPr>
        <w:t xml:space="preserve">Suratno, A., &amp; Aydawati, E. N. (2025). Hedging strategies in non-science theses: A corpus-based analysis of discussion sections. </w:t>
      </w:r>
      <w:r>
        <w:rPr>
          <w:rFonts w:ascii="Times New Roman" w:hAnsi="Times New Roman" w:eastAsia="Times New Roman"/>
          <w:i/>
          <w:sz w:val="24"/>
        </w:rPr>
        <w:t>ETERNAL (English Teaching Journal), 16</w:t>
      </w:r>
      <w:r>
        <w:rPr>
          <w:rFonts w:ascii="Times New Roman" w:hAnsi="Times New Roman" w:eastAsia="Times New Roman"/>
          <w:i w:val="0"/>
          <w:sz w:val="24"/>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Times New Roman" w:hAnsi="Times New Roman" w:eastAsia="Times New Roman"/>
          <w:i w:val="0"/>
          <w:sz w:val="24"/>
        </w:rPr>
        <w:t xml:space="preserve">Villanueva, V. S. (2014). Hedging devices in Philippine newspaper editorials. </w:t>
      </w:r>
      <w:r>
        <w:rPr>
          <w:rFonts w:ascii="Times New Roman" w:hAnsi="Times New Roman" w:eastAsia="Times New Roman"/>
          <w:i/>
          <w:sz w:val="24"/>
        </w:rPr>
        <w:t>Asian Journal of English Language Studies, 2</w:t>
      </w:r>
      <w:r>
        <w:rPr>
          <w:rFonts w:ascii="Times New Roman" w:hAnsi="Times New Roman" w:eastAsia="Times New Roman"/>
          <w:i w:val="0"/>
          <w:sz w:val="24"/>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Times New Roman" w:hAnsi="Times New Roman" w:eastAsia="Times New Roman"/>
          <w:i w:val="0"/>
          <w:sz w:val="24"/>
        </w:rPr>
        <w:t xml:space="preserve">Wang, X. (2022). </w:t>
      </w:r>
      <w:r>
        <w:rPr>
          <w:rFonts w:ascii="Times New Roman" w:hAnsi="Times New Roman" w:eastAsia="Times New Roman"/>
          <w:i/>
          <w:sz w:val="24"/>
        </w:rPr>
        <w:t>Hedging in academic writing: Cross-disciplinary comparisons in the Michigan Corpus of Upper-Level Student Papers (MICUSP)</w:t>
      </w:r>
      <w:r>
        <w:rPr>
          <w:rFonts w:ascii="Times New Roman" w:hAnsi="Times New Roman" w:eastAsia="Times New Roman"/>
          <w:i w:val="0"/>
          <w:sz w:val="24"/>
        </w:rPr>
        <w:t xml:space="preserve"> [Preprint]. OSF Preprints. https://osf.io/preprints/edarxiv/5xj27</w:t>
      </w:r>
    </w:p>
    <w:p>
      <w:pPr>
        <w:spacing w:before="0" w:after="0" w:line="480" w:lineRule="auto"/>
        <w:ind w:left="720" w:hanging="720"/>
        <w:jc w:val="left"/>
        <w:rPr/>
        <w:keepLines w:val="1"/>
        <w:widowControl w:val="1"/>
      </w:pPr>
      <w:r>
        <w:rPr>
          <w:rFonts w:ascii="Times New Roman" w:hAnsi="Times New Roman" w:eastAsia="Times New Roman"/>
          <w:i w:val="0"/>
          <w:sz w:val="24"/>
        </w:rPr>
        <w:t xml:space="preserve">Xie, S., &amp; Mi, C. (2023). Promotion and caution in research article abstracts: The use of positive, negative and hedge words across disciplines and rankings. </w:t>
      </w:r>
      <w:r>
        <w:rPr>
          <w:rFonts w:ascii="Times New Roman" w:hAnsi="Times New Roman" w:eastAsia="Times New Roman"/>
          <w:i/>
          <w:sz w:val="24"/>
        </w:rPr>
        <w:t>Learned Publishing, 36</w:t>
      </w:r>
      <w:r>
        <w:rPr>
          <w:rFonts w:ascii="Times New Roman" w:hAnsi="Times New Roman" w:eastAsia="Times New Roman"/>
          <w:i w:val="0"/>
          <w:sz w:val="24"/>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candidate tagging and sort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b w:val="0"/>
          <w:bCs w:val="0"/>
        </w:rPr>
        <w:t>2. Lexical hedges: suggest, indicate, appear, seem, propose, assume, possible, probable, likely, potential (and similar epistemic adjectives or nouns) when they qualify the force or certainty of a claim and pass the sort as retained hedges.</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i w:val="0"/>
          <w:sz w:val="22"/>
          <w:szCs w:val="22"/>
          <w:rtl w:val="0"/>
          <w:b w:val="0"/>
          <w:bCs w:val="0"/>
        </w:rPr>
        <w:t>• Never retained as hedges: ability, future procedure, must/should in procedural steps, and deontic recommendations or obligations (FP-Rec). • Coding order: holistic read → candidate tagging (wide net) → sort → Stage 2 function on retained hedges only. • Candidate tagging marks hedge-like forms, findings framing or sequencing, and FP-looking forms for inspection. It does not yet count hedges. • Sort (retained hedge): keep only if removing the device makes a knowledge claim more categorical or more direct, or softens how that claim is put forward. • Sort (pure DO log): findings framing or sequencing only, with no commitment change and no interpersonal softening, is logged as discourse organization and excluded from the retained hedge set. • Sort (FP): capability, pure procedure, recommendation, topic-naming, and non-claim sequencing are rejected. • Stage 2 (function): label retained hedges EC, P, and/or DO. Co-occurrence allowed. • Working Test (EC only): does removing the device change commitment to the truth of the proposition? Supports EC.</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hAnsi="Georgia" w:cs="Georgia" w:eastAsia="Georgia"/>
          <w:i w:val="0"/>
          <w:iCs w:val="0"/>
          <w:sz w:val="22"/>
          <w:szCs w:val="24"/>
          <w:rtl w:val="0"/>
          <w:b w:val="0"/>
          <w:bCs w:val="0"/>
        </w:rPr>
        <w:t>CANDIDATE TAGGING, SORT,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hAnsi="Georgia" w:cs="Georgia" w:eastAsia="Georgia"/>
          <w:i w:val="0"/>
          <w:iCs w:val="0"/>
          <w:color w:val="000000"/>
          <w:sz w:val="22"/>
          <w:szCs w:val="22"/>
          <w:rtl w:val="0"/>
          <w:b w:val="0"/>
          <w:bCs w:val="0"/>
        </w:rPr>
        <w:t>•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i w:val="0"/>
          <w:iCs w:val="0"/>
          <w:sz w:val="22"/>
          <w:szCs w:val="22"/>
          <w:rtl w:val="0"/>
          <w:b w:val="0"/>
          <w:bCs w:val="0"/>
        </w:rPr>
        <w:t>• Sort (retained hedge). Keep as a retained hedge only if removing the expression makes a knowledge claim more categorical or more direct, or softens how that claim is put forward.</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hAnsi="Georgia" w:cs="Georgia" w:eastAsia="Georgia"/>
          <w:i w:val="0"/>
          <w:iCs w:val="0"/>
          <w:sz w:val="22"/>
          <w:szCs w:val="22"/>
          <w:rtl w:val="0"/>
          <w:b w:val="0"/>
          <w:bCs w:val="0"/>
        </w:rPr>
        <w:t>• Sort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rPr>
      </w:r>
    </w:p>
    <w:p w:rsidR="00000000" w:rsidDel="00000000" w:rsidP="00000000" w:rsidRDefault="00000000" w:rsidRPr="00000000" w14:paraId="000001BB">
      <w:pPr>
        <w:spacing w:before="0" w:after="0" w:line="360" w:lineRule="auto"/>
        <w:ind w:left="360" w:hanging="360"/>
        <w:jc w:val="both"/>
        <w:rPr/>
      </w:pPr>
      <w:r>
        <w:rPr>
          <w:rFonts w:ascii="Georgia" w:hAnsi="Georgia" w:cs="Georgia" w:eastAsia="Georgia"/>
          <w:i w:val="0"/>
          <w:iCs w:val="0"/>
          <w:color w:val="000000"/>
          <w:sz w:val="22"/>
          <w:szCs w:val="22"/>
          <w:rtl w:val="0"/>
          <w:b w:val="0"/>
          <w:bCs w:val="0"/>
        </w:rPr>
        <w:t>• Stage 2 (function). Label retained hedges only: EC, P, and/or DO. Co-occurrence allowed. Pure DO does not reach this step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candidate tagging → sort → Decision Rules → Stage 2 on retained hedges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hAnsi="Georgia" w:cs="Georgia" w:eastAsia="Georgia"/>
          <w:i w:val="0"/>
          <w:iCs w:val="0"/>
          <w:sz w:val="22"/>
          <w:szCs w:val="22"/>
          <w:rtl w:val="0"/>
          <w:b w:val="0"/>
          <w:bCs w:val="0"/>
        </w:rPr>
        <w:t>WORKING EXAMPLES: SORT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i w:val="0"/>
          <w:iCs w:val="0"/>
          <w:sz w:val="22"/>
          <w:szCs w:val="22"/>
          <w:rtl w:val="0"/>
          <w:b w:val="0"/>
          <w:bCs w:val="0"/>
        </w:rPr>
        <w:t>• Function labels apply to retained hedges after the sort. Sort = claim mitigation for findings,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Sort = pure DO log (findings framing only). Not a retained hedge. Appendix C may still show (DO) for visibility.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Summary: Candidate tagging is wide. Only claim mitigation enters the retained hedge set. Pure findings framing is logged as DO and fails as a hedge. Stage 2 labels retained hedges EC / P / DO. Working Test supports EC only. In this corpus all 65 retained tokens were EC. No P forms appeared in the retained set. Pure DO was logged outside that set.</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8B4513"/>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sz w:val="20"/>
                <w:szCs w:val="20"/>
                <w:rtl w:val="0"/>
                <w:color w:val="8B4513"/>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hAnsi="Georgia" w:cs="Georgia" w:eastAsia="Georgia"/>
          <w:i w:val="0"/>
          <w:iCs w:val="0"/>
          <w:sz w:val="22"/>
          <w:szCs w:val="22"/>
          <w:rtl w:val="0"/>
          <w:b w:val="0"/>
          <w:bCs w:val="0"/>
        </w:rPr>
        <w:t>Strike through a hedge-like token that fails the sort as a retained hedge. Write the reason code beside it in grey text (FP-Cap, FP-Rec, FP-Proc, FP-Gen, or related codes). Pure DO logs are not false positives of that kind. They are non-hedge organization marks outside the retained count.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w:t>
      </w:r>
      <w:r>
        <w:rPr>
          <w:rFonts w:ascii="Georgia" w:hAnsi="Georgia" w:cs="Georgia" w:eastAsia="Georgia"/>
          <w:sz w:val="22"/>
          <w:szCs w:val="22"/>
          <w:b w:val="0"/>
          <w:bCs w:val="0"/>
          <w:strike w:val="0"/>
          <w:color w:val="000000"/>
        </w:rPr>
        <w:t>Thus</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w:t>
      </w:r>
      <w:r>
        <w:rPr>
          <w:rFonts w:ascii="Georgia" w:hAnsi="Georgia" w:cs="Georgia" w:eastAsia="Georgia"/>
          <w:sz w:val="22"/>
          <w:szCs w:val="22"/>
          <w:b w:val="0"/>
          <w:bCs w:val="0"/>
          <w:strike w:val="0"/>
          <w:color w:val="000000"/>
        </w:rPr>
        <w:t>Hence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w:t>
      </w:r>
      <w:r>
        <w:rPr>
          <w:rFonts w:ascii="Georgia" w:hAnsi="Georgia" w:cs="Georgia" w:eastAsia="Georgia"/>
          <w:sz w:val="22"/>
          <w:szCs w:val="22"/>
          <w:b w:val="0"/>
          <w:bCs w:val="0"/>
          <w:strike w:val="0"/>
          <w:color w:val="000000"/>
        </w:rPr>
        <w:t>Therefore</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w:t>
      </w:r>
      <w:r>
        <w:rPr>
          <w:rFonts w:ascii="Georgia" w:hAnsi="Georgia" w:cs="Georgia" w:eastAsia="Georgia"/>
          <w:sz w:val="22"/>
          <w:szCs w:val="22"/>
          <w:b w:val="0"/>
          <w:bCs w:val="0"/>
          <w:strike w:val="0"/>
          <w:color w:val="000000"/>
        </w:rPr>
        <w:t>In conclusion</w:t>
      </w:r>
      <w:r>
        <w:rPr>
          <w:rFonts w:ascii="Georgia" w:hAnsi="Georgia" w:cs="Georgia" w:eastAsia="Georgia"/>
          <w:sz w:val="20"/>
          <w:szCs w:val="20"/>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