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r>
        <w:rPr>
          <w:rFonts w:ascii="Georgia" w:hAnsi="Georgia" w:cs="Georgia" w:eastAsia="Georgia"/>
          <w:sz w:val="22"/>
          <w:szCs w:val="22"/>
          <w:b w:val="0"/>
          <w:bCs w:val="0"/>
        </w:rPr>
        <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In many Philippine undergraduate writing courses, including those that emphasize structure and grammatical correctness more than stance, hedging is seldom taught as a distinct rhetorical skill.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 Observed hedging patterns are therefore read as negotiated textual choices within that formatting frame, not as products of a fixed institutional abstract script.</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r>
        <w:rPr>
          <w:rFonts w:ascii="Georgia" w:hAnsi="Georgia" w:cs="Georgia" w:eastAsia="Georgia"/>
          <w:i w:val="0"/>
          <w:iCs w:val="0"/>
          <w:sz w:val="22"/>
          <w:szCs w:val="22"/>
          <w:rtl w:val="0"/>
          <w:b w:val="0"/>
          <w:bCs w:val="0"/>
        </w:rPr>
        <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.025.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.025. Pairwise Mann-Whitney tests with Bonferroni correction leave Biology–Veterinary Medicine as the surviving contrast. Those tests are exploratory and the sample is small, as noted in Scope.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