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360" w:lineRule="auto"/>
        <w:jc w:val="center"/>
        <w:keepNext w:val="1"/>
      </w:pPr>
      <w:r>
        <w:rPr>
          <w:rFonts w:ascii="Georgia" w:hAnsi="Georgia" w:cs="Georgia" w:eastAsia="Georgia"/>
          <w:sz w:val="24"/>
          <w:szCs w:val="24"/>
        </w:rPr>
        <w:t xml:space="preserve">By</w:t>
      </w:r>
    </w:p>
    <w:p>
      <w:pPr>
        <w:spacing w:before="0" w:after="0" w:line="360" w:lineRule="auto"/>
        <w:keepNext w:val="1"/>
      </w:pPr>
    </w:p>
    <w:p>
      <w:pPr>
        <w:spacing w:before="0" w:after="0" w:line="360" w:lineRule="auto"/>
        <w:jc w:val="center"/>
        <w:keepNext w:val="1"/>
      </w:pPr>
      <w:r>
        <w:rPr>
          <w:rFonts w:ascii="Georgia" w:hAnsi="Georgia" w:cs="Georgia" w:eastAsia="Georgia"/>
          <w:sz w:val="24"/>
          <w:szCs w:val="24"/>
          <w:b/>
          <w:bCs/>
        </w:rPr>
        <w:t xml:space="preserve">CHRYZ KEAN F. MANUEL</w:t>
      </w:r>
    </w:p>
    <w:p>
      <w:pPr>
        <w:spacing w:before="0" w:after="0" w:line="360" w:lineRule="auto"/>
        <w:keepNext w:val="1"/>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keepLines w:val="1"/>
      </w:pPr>
      <w:r>
        <w:rPr>
          <w:rFonts w:ascii="Georgia" w:hAnsi="Georgia" w:cs="Georgia" w:eastAsia="Georgia"/>
          <w:sz w:val="24"/>
          <w:szCs w:val="24"/>
        </w:rPr>
        <w:t xml:space="preserve">October 2026</w:t>
      </w:r>
    </w:p>
    <w:p w:rsidR="00000000" w:rsidDel="00000000" w:rsidP="00000000" w:rsidRDefault="00000000" w:rsidRPr="00000000" w14:paraId="00000027">
      <w:pPr>
        <w:spacing w:before="720" w:after="720" w:line="480" w:lineRule="auto"/>
        <w:jc w:val="center"/>
        <w:rPr/>
      </w:pPr>
      <w:r>
        <w:rPr>
          <w:rFonts w:ascii="Georgia" w:cs="Georgia" w:eastAsia="Georgia" w:hAnsi="Georgia"/>
          <w:b w:val="1"/>
          <w:bCs w:val="1"/>
          <w:i w:val="0"/>
          <w:iCs w:val="0"/>
          <w:sz w:val="28"/>
          <w:szCs w:val="28"/>
          <w:rtl w:val="0"/>
        </w:rPr>
        <w:t xml:space="preserve">INTRODUCTION</w:t>
      </w:r>
      <w:r>
        <w:rPr>
          <w:rtl w:val="0"/>
          <w:sz w:val="28"/>
          <w:szCs w:val="28"/>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hAnsi="Georgia" w:cs="Georgia" w:eastAsia="Georgia"/>
          <w:sz w:val="22"/>
          <w:szCs w:val="22"/>
        </w:rPr>
        <w:t xml:space="preserve">Expert writers hedge to present claims with caution rather than absolute certainty. Hyland’s work on scientific and molecular biology research writing shows that hedging is a core rhetorical resource: devices such as may, suggest, or generally signal epistemic stance, mark community membership, and let writers state claims with precision, caution, and deference to colleagues (Hyland, 1996, 1998). Those expert norms are well documented. Far less is known about undergraduate thesis writers, who face the same genre expectations without the same disciplinary training. Do their abstracts reflect field-specific conventions, or only a generic style of caution?</w:t>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sz w:val="24"/>
          <w:szCs w:val="24"/>
        </w:rPr>
      </w:r>
    </w:p>
    <w:p w:rsidR="00000000" w:rsidDel="00000000" w:rsidP="00000000" w:rsidRDefault="00000000" w:rsidRPr="00000000" w14:paraId="00000032">
      <w:pPr>
        <w:spacing w:before="0" w:after="0" w:line="480" w:lineRule="auto"/>
        <w:ind w:firstLine="720"/>
        <w:jc w:val="both"/>
        <w:rPr/>
      </w:pPr>
      <w:r>
        <w:rPr>
          <w:rFonts w:ascii="Georgia" w:hAnsi="Georgia" w:cs="Georgia" w:eastAsia="Georgia"/>
          <w:sz w:val="22"/>
          <w:szCs w:val="22"/>
        </w:rPr>
        <w:t xml:space="preserve">Developing researchers tend to underuse hedges and rely on a narrow set of devices, most often modal verbs (Khunasathitchai et al., 2025, Suratno &amp; Aydawati, 2025, Ghia et al., 2022, and Mazidah et al., 2022). Across undergraduate and upper-level student writing, the same core pattern recurs: low hedge density, limited formal variety, and a default to modals such as may or local equivalents such as </w:t>
      </w:r>
      <w:r>
        <w:rPr>
          <w:rFonts w:ascii="Georgia" w:hAnsi="Georgia" w:cs="Georgia" w:eastAsia="Georgia"/>
          <w:sz w:val="22"/>
          <w:szCs w:val="22"/>
          <w:i/>
          <w:iCs/>
        </w:rPr>
        <w:t xml:space="preserve">dapat</w:t>
      </w:r>
      <w:r>
        <w:rPr>
          <w:rFonts w:ascii="Georgia" w:hAnsi="Georgia" w:cs="Georgia" w:eastAsia="Georgia"/>
          <w:sz w:val="22"/>
          <w:szCs w:val="22"/>
        </w:rPr>
        <w:t xml:space="preserve">, linked more to limited rhetorical exposure than to weak grammar. Thesis-abstract studies in Thai, Italian, and Indonesian L2 settings show averages near or below two hedges per abstract and, in some programs, heavier use of boosters than of hedges. Where disciplinary comparison is available among developing writers, as in Wang’s (2022) sixteen-field MICUSP analysis, variation appears, yet modal dominance persists even in fields that hedge more overall.</w:t>
      </w:r>
    </w:p>
    <w:p w:rsidR="00000000" w:rsidDel="00000000" w:rsidP="00000000" w:rsidRDefault="00000000" w:rsidRPr="00000000" w14:paraId="00000033">
      <w:pPr>
        <w:spacing w:before="0" w:after="0" w:line="480" w:lineRule="auto"/>
        <w:ind w:firstLine="720"/>
        <w:jc w:val="both"/>
        <w:rPr/>
      </w:pPr>
      <w:r>
        <w:rPr>
          <w:rFonts w:ascii="Georgia" w:hAnsi="Georgia" w:cs="Georgia" w:eastAsia="Georgia"/>
          <w:sz w:val="22"/>
          <w:szCs w:val="22"/>
        </w:rPr>
        <w:t xml:space="preserve">These studies leave clear gaps for the present work. Only a few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sz w:val="24"/>
          <w:szCs w:val="24"/>
        </w:rPr>
      </w:r>
    </w:p>
    <w:p w:rsidR="00000000" w:rsidDel="00000000" w:rsidP="00000000" w:rsidRDefault="00000000" w:rsidRPr="00000000" w14:paraId="00000036">
      <w:pPr>
        <w:spacing w:before="0" w:after="0" w:line="480" w:lineRule="auto"/>
        <w:ind w:firstLine="720"/>
        <w:jc w:val="both"/>
        <w:rPr/>
      </w:pPr>
      <w:r>
        <w:rPr>
          <w:rFonts w:ascii="Georgia" w:hAnsi="Georgia" w:cs="Georgia" w:eastAsia="Georgia"/>
          <w:sz w:val="22"/>
          <w:szCs w:val="22"/>
        </w:rPr>
        <w:t>Field norms shape expert hedging, but not along a simple hard/soft divide. Comparative work places humanities writers at the high end of hedge frequency and agriculture near the low end in one multi-field design (Afshar et al., 2014), while other pairings find scientists hedging more than applied linguists (Mohammed, 2011). Within life sciences, biology research articles often favor non-factive reporting verbs as the main hedge type (Souici &amp; Slougui, 2022), and clinical writing may edge slightly above basic science within medicine without a strong statistical separation (Hamidi et al., 2025). The mixed directions matter less as a contradiction than as evidence that density tracks specific epistemic demands and coding choices rather than a single hard/soft divide.</w:t>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divide.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sz w:val="24"/>
          <w:szCs w:val="24"/>
        </w:rPr>
      </w:r>
    </w:p>
    <w:p w:rsidR="00000000" w:rsidDel="00000000" w:rsidP="00000000" w:rsidRDefault="00000000" w:rsidRPr="00000000" w14:paraId="0000003A">
      <w:pPr>
        <w:spacing w:before="0" w:after="0" w:line="480" w:lineRule="auto"/>
        <w:ind w:firstLine="720"/>
        <w:jc w:val="both"/>
        <w:rPr/>
      </w:pPr>
      <w:r>
        <w:rPr>
          <w:rFonts w:ascii="Georgia" w:hAnsi="Georgia" w:cs="Georgia" w:eastAsia="Georgia"/>
          <w:sz w:val="22"/>
          <w:szCs w:val="22"/>
        </w:rPr>
        <w:t>English is the medium of academic writing at PSAU, but not the home language for most students. L2 writers typically use fewer hedges and less formal variety than L1 peers (Demir, 2018, and Mohammed, 2011), and publication context can amplify that gap: English-medium journal abstracts show markedly more hedges than Chinese-medium counterparts in the same field (Hu &amp; Cao, 2011). Explicit teaching can raise both frequency and variety among health-science undergraduates, though a preference for modals often remains even after training (Petchkij, 2019).</w:t>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sz w:val="24"/>
          <w:szCs w:val="24"/>
        </w:rPr>
      </w:r>
    </w:p>
    <w:p w:rsidR="00000000" w:rsidDel="00000000" w:rsidP="00000000" w:rsidRDefault="00000000" w:rsidRPr="00000000" w14:paraId="0000003D">
      <w:pPr>
        <w:spacing w:before="0" w:after="0" w:line="480" w:lineRule="auto"/>
        <w:ind w:firstLine="720"/>
        <w:jc w:val="both"/>
        <w:rPr/>
      </w:pPr>
      <w:r>
        <w:rPr>
          <w:rFonts w:ascii="Georgia" w:hAnsi="Georgia" w:cs="Georgia" w:eastAsia="Georgia"/>
          <w:sz w:val="22"/>
          <w:szCs w:val="22"/>
        </w:rPr>
        <w:t xml:space="preserve">Philippine and regional findings align with this picture. ASEAN learner data, including Philippine samples, show a preference for boosters over hedges and overuse of intensifiers such as completely, really, and always (Ningrum et al., 2024). Local college essay studies report developing-stage proficiency with epistemic modals dominant and only modest, often non-significant differences by major field (Escalona, 2025, and Lopez et al., 2025). Outside the student essay genre, Villanueva (2014) shows hedging used to manage accountability in Philippine newspaper editorials. Different genre, same point: hedging is context-sensitive rather than a fixed national style.</w:t>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sz w:val="24"/>
          <w:szCs w:val="24"/>
        </w:rPr>
      </w:r>
    </w:p>
    <w:p w:rsidR="00000000" w:rsidDel="00000000" w:rsidP="00000000" w:rsidRDefault="00000000" w:rsidRPr="00000000" w14:paraId="00000040">
      <w:pPr>
        <w:spacing w:before="0" w:after="0" w:line="480" w:lineRule="auto"/>
        <w:ind w:firstLine="720"/>
        <w:jc w:val="both"/>
        <w:rPr/>
      </w:pPr>
      <w:r>
        <w:rPr>
          <w:rFonts w:ascii="Georgia" w:hAnsi="Georgia" w:cs="Georgia" w:eastAsia="Georgia"/>
          <w:sz w:val="22"/>
          <w:szCs w:val="22"/>
        </w:rPr>
        <w:t xml:space="preserve">Abstracts compress research into a constrained space. Expert abstract studies report measurable disciplinary differences in linguistic features such as voice and nominalization (Imataki &amp; Kobayashi, 2024), and large-scale work on promotion and caution finds hedge words more frequent in soft sciences and higher-ranking journals, with positive promotional wording more common in hard sciences (Xie &amp; Mi, 2023). Expert abstract conventions are relatively well mapped. Developing-researcher abstracts are not. Whether undergraduates in applied life sciences show any disciplinary differentiation in this genre remains an open empirical question.</w:t>
      </w:r>
    </w:p>
    <w:p w:rsidR="00000000" w:rsidDel="00000000" w:rsidP="00000000" w:rsidRDefault="00000000" w:rsidRPr="00000000" w14:paraId="00000042">
      <w:pPr>
        <w:spacing w:before="0" w:after="0" w:line="480" w:lineRule="auto"/>
        <w:ind w:firstLine="720"/>
        <w:jc w:val="both"/>
        <w:rPr/>
      </w:pPr>
      <w:r>
        <w:rPr>
          <w:rFonts w:ascii="Georgia" w:hAnsi="Georgia" w:cs="Georgia" w:eastAsia="Georgia"/>
          <w:sz w:val="22"/>
          <w:szCs w:val="22"/>
        </w:rPr>
        <w:t xml:space="preserve">Across the literature, expert writers show measurable disciplinary differentiation in hedging shaped by epistemic demands rather than a simple hard/soft divide (Salager-Meyer, 1994, Afshar et al., 2014, Wang, 2022, and Xie &amp; Mi, 2023). Developing researchers across contexts show limited hedge variety and tend to default to modal verbs (Khunasathitchai et al., 2025, Wang, 2022, Ghia et al., 2022, and Mazidah et al., 2022). L2 writers face additional constraints from linguistic factors, publication context, and limited explicit instruction (Demir, 2018, Hu &amp; Cao, 2011, and Petchkij, 2019). Philippine and ASEAN studies confirm reliance on modals and, in some contexts, a preference for boosters (Ningrum et al., 2024, Escalona, 2025, and Lopez et al., 2025). Abstract-focused work further shows that caution and promotion vary by discipline and ranking (Xie &amp; Mi, 2023), but undergraduate applied-science abstracts remain underdescribed.</w:t>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sz w:val="24"/>
          <w:szCs w:val="24"/>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patterns in undergraduate thesis abstracts from Agriculture, Veterinary Medicine, and Biology at PSAU. Specifically, it asked the following questions: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4"/>
          <w:szCs w:val="24"/>
          <w:rtl w:val="0"/>
        </w:rPr>
        <w:t>3. Among the hedging devices identified, what rhetorical functions do they serve?</w:t>
      </w:r>
      <w:r>
        <w:rPr>
          <w:rtl w:val="0"/>
          <w:sz w:val="24"/>
          <w:szCs w:val="24"/>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sz w:val="24"/>
          <w:szCs w:val="24"/>
        </w:rPr>
      </w:r>
    </w:p>
    <w:p w:rsidR="00000000" w:rsidDel="00000000" w:rsidP="00000000" w:rsidRDefault="00000000" w:rsidRPr="00000000" w14:paraId="0000004E">
      <w:pPr>
        <w:spacing w:before="0" w:after="0" w:line="480" w:lineRule="auto"/>
        <w:ind w:firstLine="720"/>
        <w:jc w:val="both"/>
        <w:rPr/>
      </w:pPr>
      <w:r>
        <w:rPr>
          <w:rFonts w:ascii="Georgia" w:hAnsi="Georgia" w:cs="Georgia" w:eastAsia="Georgia"/>
          <w:i w:val="0"/>
          <w:iCs w:val="0"/>
          <w:sz w:val="22"/>
          <w:szCs w:val="22"/>
          <w:rtl w:val="0"/>
          <w:b w:val="0"/>
          <w:bCs w:val="0"/>
        </w:rPr>
        <w:t>This study is grounded in a coding scheme adapted from Hyland’s (1998) classification of hedging forms. Hyland (1998) is the instrument for this project. It supplies the grammatical types coded in the corpus (consolidated here as lexical hedges, modal verbs, adverbial hedges, and clause-level hedges) and the starting point for functional reading of retained hedges. Two function labels map onto that starting point. Epistemic Caution covers reduced commitment to the truth of a knowledge claim. Politeness/Deference covers interpersonal softening toward readers or prior work. Those two align roughly with content-oriented and reader-oriented concerns in the hedging literature. Discourse Organization is not treated as one of Hyland’s hedge functions. It is added here as a test category from metadiscourse accounts of text-organizing moves, so that non-epistemic mitigation of how a claim is put forward could be recorded if it appeared. The scheme is adapted for this corpus. It is not a fixed published taxonomy.</w:t>
      </w:r>
      <w:r>
        <w:rPr>
          <w:rtl w:val="0"/>
        </w:rPr>
      </w:r>
    </w:p>
    <w:p w:rsidR="00000000" w:rsidDel="00000000" w:rsidP="00000000" w:rsidRDefault="00000000" w:rsidRPr="00000000" w14:paraId="0000004F">
      <w:pPr>
        <w:spacing w:before="0" w:after="0" w:line="480" w:lineRule="auto"/>
        <w:ind w:firstLine="720"/>
        <w:jc w:val="both"/>
        <w:rPr/>
      </w:pPr>
      <w:r>
        <w:rPr>
          <w:rFonts w:ascii="Georgia" w:hAnsi="Georgia" w:cs="Georgia" w:eastAsia="Georgia"/>
          <w:i w:val="0"/>
          <w:iCs w:val="0"/>
          <w:sz w:val="22"/>
          <w:szCs w:val="22"/>
          <w:rtl w:val="0"/>
          <w:b w:val="0"/>
          <w:bCs w:val="0"/>
        </w:rPr>
        <w:t>Each source used in the framework has a distinct job. Hyland (1998) is the coding instrument for hedge types and the broad start for function labels EC and P. Crompton (1997) is the boundary rule for Epistemic Caution alone. His restatement test (whether the claim could be restated with greater author commitment) operationalizes the Step 3 EC diagnostic. The study does not adopt Crompton’s full taxonomy or his narrower view of what may enter the retained set. Salager-Meyer (1994) is an interpretive lens used in Part IV. Her claim-responsibility account helps read why density may differ across programs. Her taxonomy is not used for coding. Hyland (2005) is a second interpretive lens. The stance model helps read what fewer hedges mean where results turn into implications. It is not an operational coding criterion. Together, the two lenses frame hedging as both an epistemic and an interpersonal resource without treating either lens as a tested finding.</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i w:val="0"/>
          <w:iCs w:val="0"/>
          <w:sz w:val="22"/>
          <w:szCs w:val="22"/>
          <w:rtl w:val="0"/>
          <w:b w:val="0"/>
          <w:bCs w:val="0"/>
        </w:rPr>
        <w:t>In practice, the coding scheme was adapted from Hyland (1998) as the type instrument and operationalized through the decision rules in Appendix A. Coding followed three steps after a holistic reading of each abstract. First, Step 1 (candidate tagging) cast a wide net: hedge-like forms, findings framing or sequencing, and forms that might later prove to be false positives were marked for inspection. This step did not yet count hedges. Second, each candidate was sorted at Step 2. A token entered the retained hedge set only if removing it made a knowledge claim about findings more categorical or more direct, or softened how that claim was put forward. Capability, recommendation, pure procedure, topic-naming with no claim mitigation, and sequencing of non-claims were rejected as false positives. Pure framing or sequencing of a findings claim, with no change in commitment and no interpersonal softening, was logged as discourse organization only. It did not enter the retained hedge set. Third, Step 3 assigned function labels to retained hedges only: Epistemic Caution, Politeness/Deference, and/or Discourse Organization as co-occurring labels where relevant. The Working Test supported the EC label. Retained tokens were also marked for grammatical type using the Appendix A decision rules. In this corpus all retained hedges were coded Epistemic Caution at Step 3. No P forms appeared in the retained set. Pure DO candidates were logged outside that set. RQ3 reports the functional profile of retained hedges only. RQ4 is answered from frequency patterns together with interpretive reading under the lenses named above.</w:t>
      </w:r>
      <w:r>
        <w:rPr>
          <w:rtl w:val="0"/>
        </w:rPr>
      </w:r>
    </w:p>
    <w:p>
      <w:pPr>
        <w:spacing w:before="0" w:after="0" w:line="480" w:lineRule="auto"/>
        <w:ind w:firstLine="720"/>
        <w:jc w:val="both"/>
        <w:rPr/>
      </w:pPr>
      <w:r>
        <w:rPr>
          <w:rFonts w:ascii="Georgia" w:hAnsi="Georgia" w:cs="Georgia" w:eastAsia="Georgia"/>
          <w:i w:val="0"/>
          <w:sz w:val="22"/>
          <w:szCs w:val="22"/>
          <w:b w:val="0"/>
          <w:bCs w:val="0"/>
        </w:rPr>
        <w:t>Functional labels in this study (Epistemic Caution, Politeness/Deference, and Discourse Organization) are assigned to retained hedges after Step 2. They are not mutually exclusive. Interpersonal or discourse effects can co-occur with epistemic stance on a retained token. Step 1 may include pure findings framing so that discourse organization is inspected rather than ignored. That pure framing fails Step 2 as a hedge because it does not reduce commitment and does not soften interpersonal force. It is recorded as non-hedge organization (including Appendix C connector marks) and sits outside the retained count. The Working Test (does removing the device change commitment to the truth of the proposition?) supports an EC label on retained hedges. It is not a license to count every soft-sounding word. Crompton (1997) informs only the EC diagnostic. A proposition restatable with greater author commitment signals reduced epistemic weight.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on retained hedges, not as the sole candidate-tagging rule. The 100% EC profile of the retained set is therefore readable as both an empirical pattern in this sample and a product of the Step 2 rule that keeps only claim mitigation in the hedge tally. The zero for pure DO in that tally is expected under the same rule. The zero for P is the clearer empirical null in this abstract genre.</w:t>
      </w:r>
    </w:p>
    <w:p w:rsidR="00000000" w:rsidDel="00000000" w:rsidP="00000000" w:rsidRDefault="00000000" w:rsidRPr="00000000" w14:paraId="00000051">
      <w:pPr>
        <w:spacing w:before="0" w:after="0" w:line="480" w:lineRule="auto"/>
        <w:ind w:firstLine="720"/>
        <w:jc w:val="both"/>
        <w:rPr/>
      </w:pPr>
      <w:r>
        <w:rPr>
          <w:rFonts w:ascii="Georgia" w:hAnsi="Georgia" w:cs="Georgia" w:eastAsia="Georgia"/>
          <w:i w:val="0"/>
          <w:iCs w:val="0"/>
          <w:sz w:val="22"/>
          <w:szCs w:val="22"/>
          <w:rtl w:val="0"/>
          <w:b w:val="0"/>
          <w:bCs w:val="0"/>
        </w:rPr>
        <w:t>The conceptual framework is presented in Figure 1. The grouping variable is discipline (Agriculture, Veterinary Medicine, and Biology). The outcome measures are hedge type frequency, distribution, and function. Figure 1 shows the study’s type and function categories in that pipeline. The analytical path moves from Step 1 and Step 2 through frequency analysis and cross-disciplinary comparison to functional and interpretive reading. Source jobs are stated in the framework text: Hyland (1998) supplies the type instrument and the starting point for EC and P on retained hedges, Crompton (1997) supports the Step 3 EC diagnostic, Salager-Meyer (1994) is the Part IV claim-responsibility lens, and Hyland (2005) is the stance lens for implications. DO appears in Figure 1 as a possible function label and logging category in this scheme. It is not treated as one of Hyland’s hedge functions. Two boundary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bound how far the findings may be generalized.</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4"/>
          <w:szCs w:val="24"/>
          <w:rtl w:val="0"/>
        </w:rPr>
        <w:t xml:space="preserve">Conceptual Framework of the Study</w:t>
      </w:r>
      <w:r>
        <w:rPr>
          <w:rtl w:val="0"/>
          <w:sz w:val="24"/>
          <w:szCs w:val="24"/>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sz w:val="24"/>
          <w:szCs w:val="24"/>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b w:val="1"/>
          <w:bCs w:val="1"/>
        </w:rPr>
        <w:t xml:space="preserve">For writing instructors and thesis advisers at PSAU, </w:t>
      </w:r>
      <w:r>
        <w:rPr>
          <w:rFonts w:ascii="Georgia" w:hAnsi="Georgia" w:cs="Georgia" w:eastAsia="Georgia"/>
          <w:sz w:val="22"/>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b w:val="1"/>
          <w:bCs w:val="1"/>
        </w:rPr>
        <w:t xml:space="preserve">For academic writing researchers, </w:t>
      </w:r>
      <w:r>
        <w:rPr>
          <w:rFonts w:ascii="Georgia" w:hAnsi="Georgia" w:cs="Georgia" w:eastAsia="Georgia"/>
          <w:sz w:val="22"/>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b w:val="1"/>
          <w:bCs w:val="1"/>
        </w:rPr>
        <w:t xml:space="preserve">For the BAELS program, </w:t>
      </w:r>
      <w:r>
        <w:rPr>
          <w:rFonts w:ascii="Georgia" w:hAnsi="Georgia" w:cs="Georgia" w:eastAsia="Georgia"/>
          <w:sz w:val="22"/>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b w:val="1"/>
          <w:bCs w:val="1"/>
        </w:rPr>
        <w:t xml:space="preserve">For future researchers, </w:t>
      </w:r>
      <w:r>
        <w:rPr>
          <w:rFonts w:ascii="Georgia" w:hAnsi="Georgia" w:cs="Georgia" w:eastAsia="Georgia"/>
          <w:sz w:val="22"/>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sz w:val="24"/>
          <w:szCs w:val="24"/>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a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b w:val="0"/>
          <w:sz w:val="22"/>
          <w:rtl w:val="0"/>
        </w:rPr>
        <w:t>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Step 1–3 coding scheme to longer genres where P may appear more often and where pure DO logs can be compared across genres.</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b w:val="0"/>
          <w:sz w:val="22"/>
          <w:rtl w:val="0"/>
        </w:rPr>
        <w:t>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items did not appear in the retained set. Expert abstracts in the same three disciplines, coded with the same Step 1–3 coding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sz w:val="24"/>
          <w:szCs w:val="24"/>
        </w:rPr>
      </w:r>
    </w:p>
    <w:p w:rsidR="00000000" w:rsidDel="00000000" w:rsidP="00000000" w:rsidRDefault="00000000" w:rsidRPr="00000000" w14:paraId="00000066">
      <w:pPr>
        <w:spacing w:before="0" w:after="0" w:line="480" w:lineRule="auto"/>
        <w:ind w:firstLine="720"/>
        <w:jc w:val="both"/>
        <w:rPr/>
      </w:pPr>
      <w:r>
        <w:rPr>
          <w:rFonts w:ascii="Georgia" w:hAnsi="Georgia" w:cs="Georgia" w:eastAsia="Georgia"/>
          <w:i w:val="0"/>
          <w:iCs w:val="0"/>
          <w:sz w:val="22"/>
          <w:szCs w:val="22"/>
          <w:rtl w:val="0"/>
          <w:b w:val="0"/>
          <w:bCs w:val="0"/>
        </w:rPr>
        <w:t xml:space="preserve">The following terms are defined conceptually and operationally to ensure consistency throughout the study:</w:t>
      </w:r>
      <w:r>
        <w:rPr>
          <w:rFonts w:ascii="Georgia" w:hAnsi="Georgia" w:cs="Georgia" w:eastAsia="Georgia"/>
          <w:sz w:val="22"/>
          <w:rtl w:val="0"/>
          <w:b w:val="0"/>
          <w:bCs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Abstract,</w:t>
      </w:r>
      <w:r>
        <w:rPr>
          <w:rFonts w:ascii="Georgia" w:hAnsi="Georgia" w:cs="Georgia" w:eastAsia="Georgia"/>
          <w:sz w:val="22"/>
          <w:b w:val="0"/>
          <w:bCs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sz w:val="22"/>
          <w:b w:val="1"/>
          <w:bCs w:val="1"/>
        </w:rPr>
        <w:t>Adverbial Hedges,</w:t>
      </w:r>
      <w:r>
        <w:rPr>
          <w:rFonts w:ascii="Georgia" w:hAnsi="Georgia" w:cs="Georgia" w:eastAsia="Georgia"/>
          <w:sz w:val="22"/>
          <w:b w:val="0"/>
          <w:bCs w:val="0"/>
        </w:rPr>
        <w:t xml:space="preserve"> conceptually,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sz w:val="22"/>
          <w:b w:val="1"/>
          <w:bCs w:val="1"/>
        </w:rPr>
        <w:t>Applied Life Sciences,</w:t>
      </w:r>
      <w:r>
        <w:rPr>
          <w:rFonts w:ascii="Georgia" w:hAnsi="Georgia" w:cs="Georgia" w:eastAsia="Georgia"/>
          <w:sz w:val="22"/>
          <w:b w:val="0"/>
          <w:bCs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sz w:val="22"/>
          <w:b w:val="1"/>
          <w:bCs w:val="1"/>
        </w:rPr>
        <w:t>Claim Responsibility,</w:t>
      </w:r>
      <w:r>
        <w:rPr>
          <w:rFonts w:ascii="Georgia" w:hAnsi="Georgia" w:cs="Georgia" w:eastAsia="Georgia"/>
          <w:sz w:val="22"/>
          <w:b w:val="0"/>
          <w:bCs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Chi-Square Test of Independence,</w:t>
      </w:r>
      <w:r>
        <w:rPr>
          <w:rFonts w:ascii="Georgia" w:hAnsi="Georgia" w:cs="Georgia" w:eastAsia="Georgia"/>
          <w:sz w:val="22"/>
          <w:b w:val="0"/>
          <w:bCs w:val="0"/>
        </w:rPr>
        <w:t xml:space="preserve"> conceptually,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sz w:val="22"/>
          <w:b w:val="1"/>
          <w:bCs w:val="1"/>
        </w:rPr>
        <w:t>Clause-Level Hedges,</w:t>
      </w:r>
      <w:r>
        <w:rPr>
          <w:rFonts w:ascii="Georgia" w:hAnsi="Georgia" w:cs="Georgia" w:eastAsia="Georgia"/>
          <w:sz w:val="22"/>
          <w:b w:val="0"/>
          <w:bCs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Cohen’s Kappa (κ),</w:t>
      </w:r>
      <w:r>
        <w:rPr>
          <w:rFonts w:ascii="Georgia" w:hAnsi="Georgia" w:cs="Georgia" w:eastAsia="Georgia"/>
          <w:sz w:val="22"/>
          <w:b w:val="0"/>
          <w:bCs w:val="0"/>
        </w:rPr>
        <w:t xml:space="preserve"> conceptually,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sz w:val="22"/>
          <w:b w:val="1"/>
          <w:bCs w:val="1"/>
        </w:rPr>
        <w:t>Corpus-Assisted Discourse Analysis,</w:t>
      </w:r>
      <w:r>
        <w:rPr>
          <w:rFonts w:ascii="Georgia" w:hAnsi="Georgia" w:cs="Georgia" w:eastAsia="Georgia"/>
          <w:sz w:val="22"/>
          <w:b w:val="0"/>
          <w:bCs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sz w:val="22"/>
          <w:b w:val="1"/>
          <w:bCs w:val="1"/>
        </w:rPr>
        <w:t>Disciplinary Variation,</w:t>
      </w:r>
      <w:r>
        <w:rPr>
          <w:rFonts w:ascii="Georgia" w:hAnsi="Georgia" w:cs="Georgia" w:eastAsia="Georgia"/>
          <w:sz w:val="22"/>
          <w:b w:val="0"/>
          <w:bCs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sz w:val="22"/>
          <w:b w:val="1"/>
          <w:bCs w:val="1"/>
        </w:rPr>
        <w:t>Epistemic Stance,</w:t>
      </w:r>
      <w:r>
        <w:rPr>
          <w:rFonts w:ascii="Georgia" w:hAnsi="Georgia" w:cs="Georgia" w:eastAsia="Georgia"/>
          <w:sz w:val="22"/>
          <w:b w:val="0"/>
          <w:bCs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Epistemic Weight,</w:t>
      </w:r>
      <w:r>
        <w:rPr>
          <w:rFonts w:ascii="Georgia" w:hAnsi="Georgia" w:cs="Georgia" w:eastAsia="Georgia"/>
          <w:sz w:val="22"/>
          <w:b w:val="0"/>
          <w:bCs w:val="0"/>
        </w:rPr>
        <w:t xml:space="preserve"> conceptually, is the strength of the writer’s commitment to the truth of a proposition (how certain or tentative the claim is). Operationally, a change in epistemic weight supports an EC function label at Step 3. Step 2 uses the broader force / directness test on knowledge claims (imposition only as interpersonal softening of a claim, not as a directive).</w:t>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sz w:val="22"/>
          <w:b w:val="1"/>
          <w:bCs w:val="1"/>
        </w:rPr>
        <w:t>Hedge Function,</w:t>
      </w:r>
      <w:r>
        <w:rPr>
          <w:rFonts w:ascii="Georgia" w:hAnsi="Georgia" w:cs="Georgia" w:eastAsia="Georgia"/>
          <w:sz w:val="22"/>
          <w:b w:val="0"/>
          <w:bCs w:val="0"/>
        </w:rPr>
        <w:t xml:space="preserve"> conceptually,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sz w:val="22"/>
          <w:b w:val="1"/>
          <w:bCs w:val="1"/>
        </w:rPr>
        <w:t>Hedging,</w:t>
      </w:r>
      <w:r>
        <w:rPr>
          <w:rFonts w:ascii="Georgia" w:hAnsi="Georgia" w:cs="Georgia" w:eastAsia="Georgia"/>
          <w:sz w:val="22"/>
          <w:b w:val="0"/>
          <w:bCs w:val="0"/>
        </w:rPr>
        <w:t xml:space="preserve"> conceptually,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Kruskal-Wallis Test,</w:t>
      </w:r>
      <w:r>
        <w:rPr>
          <w:rFonts w:ascii="Georgia" w:hAnsi="Georgia" w:cs="Georgia" w:eastAsia="Georgia"/>
          <w:sz w:val="22"/>
          <w:b w:val="0"/>
          <w:bCs w:val="0"/>
        </w:rPr>
        <w:t xml:space="preserve"> conceptually,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sz w:val="22"/>
          <w:b w:val="1"/>
          <w:bCs w:val="1"/>
        </w:rPr>
        <w:t>Lexical Hedges,</w:t>
      </w:r>
      <w:r>
        <w:rPr>
          <w:rFonts w:ascii="Georgia" w:hAnsi="Georgia" w:cs="Georgia" w:eastAsia="Georgia"/>
          <w:sz w:val="22"/>
          <w:b w:val="0"/>
          <w:bCs w:val="0"/>
        </w:rPr>
        <w:t xml:space="preserve"> conceptually,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p>
    <w:p>
      <w:pPr>
        <w:spacing w:before="0" w:after="0" w:line="480" w:lineRule="auto"/>
        <w:ind w:firstLine="720"/>
        <w:jc w:val="both"/>
        <w:rPr/>
      </w:pPr>
      <w:r>
        <w:rPr>
          <w:rFonts w:ascii="Georgia" w:hAnsi="Georgia" w:cs="Georgia" w:eastAsia="Georgia"/>
          <w:sz w:val="22"/>
          <w:b w:val="1"/>
          <w:bCs w:val="1"/>
        </w:rPr>
        <w:t>Mann-Whitney U Test,</w:t>
      </w:r>
      <w:r>
        <w:rPr>
          <w:rFonts w:ascii="Georgia" w:hAnsi="Georgia" w:cs="Georgia" w:eastAsia="Georgia"/>
          <w:sz w:val="22"/>
          <w:b w:val="0"/>
          <w:bCs w:val="0"/>
        </w:rPr>
        <w:t xml:space="preserve"> conceptually,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sz w:val="22"/>
          <w:b w:val="1"/>
          <w:bCs w:val="1"/>
        </w:rPr>
        <w:t>Modal Verbs,</w:t>
      </w:r>
      <w:r>
        <w:rPr>
          <w:rFonts w:ascii="Georgia" w:hAnsi="Georgia" w:cs="Georgia" w:eastAsia="Georgia"/>
          <w:sz w:val="22"/>
          <w:b w:val="0"/>
          <w:bCs w:val="0"/>
        </w:rPr>
        <w:t xml:space="preserve"> conceptually,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sz w:val="22"/>
          <w:b w:val="1"/>
          <w:bCs w:val="1"/>
        </w:rPr>
        <w:t>Normalized Frequency,</w:t>
      </w:r>
      <w:r>
        <w:rPr>
          <w:rFonts w:ascii="Georgia" w:hAnsi="Georgia" w:cs="Georgia" w:eastAsia="Georgia"/>
          <w:sz w:val="22"/>
          <w:b w:val="0"/>
          <w:bCs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pPr>
        <w:spacing w:before="0" w:after="0" w:line="480" w:lineRule="auto"/>
        <w:ind w:firstLine="720"/>
        <w:jc w:val="both"/>
        <w:rPr/>
      </w:pPr>
      <w:r>
        <w:rPr>
          <w:rFonts w:ascii="Georgia" w:hAnsi="Georgia" w:cs="Georgia" w:eastAsia="Georgia"/>
          <w:sz w:val="22"/>
          <w:b w:val="1"/>
          <w:bCs w:val="1"/>
        </w:rPr>
        <w:t>Operational Restatement (Threshold Restatement),</w:t>
      </w:r>
      <w:r>
        <w:rPr>
          <w:rFonts w:ascii="Georgia" w:hAnsi="Georgia" w:cs="Georgia" w:eastAsia="Georgia"/>
          <w:sz w:val="22"/>
          <w:b w:val="0"/>
          <w:bCs w:val="0"/>
        </w:rPr>
        <w:t xml:space="preserve"> conceptually, a phrase that only restates a result already fixed by the measure or a field-standard threshold, without a further uncertain inference. Operationally, evidential verbs used this way (especially indicating) are coded FP-Gen rather than as lexical hedges. In Results this rule is also called the “indicating” tautology test.</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Rescue-Hedging (Rescue Framing),</w:t>
      </w:r>
      <w:r>
        <w:rPr>
          <w:rFonts w:ascii="Georgia" w:hAnsi="Georgia" w:cs="Georgia" w:eastAsia="Georgia"/>
          <w:sz w:val="22"/>
          <w:b w:val="0"/>
          <w:bCs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Softening,</w:t>
      </w:r>
      <w:r>
        <w:rPr>
          <w:rFonts w:ascii="Georgia" w:hAnsi="Georgia" w:cs="Georgia" w:eastAsia="Georgia"/>
          <w:sz w:val="22"/>
          <w:b w:val="0"/>
          <w:bCs w:val="0"/>
        </w:rPr>
        <w:t xml:space="preserve"> conceptually, is the reduction of force, directness, imposition, or interpersonal impact in a statement. Operationally, Step 2 tracks softening of force or directness on knowledge claims (and interpersonal imposition on how claims are put forward). Step 3 labels retained hedges as epistemic (EC), interpersonal (P), and/or discourse-managing (DO) where co-occurrence applies. Directives remain excluded.</w:t>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sz w:val="28"/>
          <w:szCs w:val="28"/>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sz w:val="24"/>
          <w:szCs w:val="24"/>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sz w:val="24"/>
          <w:szCs w:val="24"/>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sz w:val="24"/>
          <w:szCs w:val="24"/>
        </w:rPr>
      </w:r>
    </w:p>
    <w:p w:rsidR="00000000" w:rsidDel="00000000" w:rsidP="00000000" w:rsidRDefault="00000000" w:rsidRPr="00000000" w14:paraId="00000086">
      <w:pPr>
        <w:spacing w:before="0" w:after="0" w:line="480" w:lineRule="auto"/>
        <w:ind w:firstLine="720"/>
        <w:jc w:val="both"/>
        <w:rPr/>
      </w:pPr>
      <w:r>
        <w:rPr>
          <w:rFonts w:ascii="Georgia" w:hAnsi="Georgia" w:cs="Georgia" w:eastAsia="Georgia"/>
          <w:i w:val="0"/>
          <w:iCs w:val="0"/>
          <w:sz w:val="24"/>
          <w:szCs w:val="24"/>
          <w:rtl w:val="0"/>
          <w:b w:val="0"/>
          <w:bCs w:val="0"/>
        </w:rPr>
        <w:t xml:space="preserve">The study proceeded through the following steps:</w:t>
      </w:r>
      <w:r>
        <w:rPr>
          <w:rFonts w:ascii="Georgia" w:hAnsi="Georgia" w:cs="Georgia" w:eastAsia="Georgia"/>
          <w:sz w:val="24"/>
          <w:rtl w:val="0"/>
          <w:b w:val="0"/>
          <w:bCs w:val="0"/>
          <w:szCs w:val="24"/>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sz w:val="22"/>
          <w:b w:val="1"/>
          <w:bCs w:val="1"/>
        </w:rPr>
        <w:t xml:space="preserve">a. Requesting Permission. </w:t>
      </w:r>
      <w:r>
        <w:rPr>
          <w:rFonts w:ascii="Georgia" w:hAnsi="Georgia" w:cs="Georgia" w:eastAsia="Georgia"/>
          <w:sz w:val="22"/>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sz w:val="22"/>
          <w:b w:val="1"/>
          <w:bCs w:val="1"/>
        </w:rPr>
        <w:t xml:space="preserve">b. Corpus Construction. </w:t>
      </w:r>
      <w:r>
        <w:rPr>
          <w:rFonts w:ascii="Georgia" w:hAnsi="Georgia" w:cs="Georgia" w:eastAsia="Georgia"/>
          <w:sz w:val="22"/>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sz w:val="22"/>
          <w:b w:val="1"/>
          <w:bCs w:val="1"/>
        </w:rPr>
        <w:t xml:space="preserve">c. Text Extraction. </w:t>
      </w:r>
      <w:r>
        <w:rPr>
          <w:rFonts w:ascii="Georgia" w:hAnsi="Georgia" w:cs="Georgia" w:eastAsia="Georgia"/>
          <w:sz w:val="22"/>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sz w:val="22"/>
          <w:b w:val="1"/>
          <w:bCs w:val="1"/>
        </w:rPr>
        <w:t xml:space="preserve">d. Pilot Testing and Reliability Checking. </w:t>
      </w:r>
      <w:r>
        <w:rPr>
          <w:rFonts w:ascii="Georgia" w:hAnsi="Georgia" w:cs="Georgia" w:eastAsia="Georgia"/>
          <w:sz w:val="22"/>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b w:val="1"/>
          <w:bCs w:val="1"/>
        </w:rPr>
        <w:t xml:space="preserve">e. Data Analysis. </w:t>
      </w:r>
      <w:r>
        <w:rPr>
          <w:rFonts w:ascii="Georgia" w:hAnsi="Georgia" w:cs="Georgia" w:eastAsia="Georgia"/>
          <w:sz w:val="22"/>
          <w:b w:val="0"/>
          <w:bCs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sz w:val="22"/>
          <w:b w:val="1"/>
          <w:bCs w:val="1"/>
        </w:rPr>
        <w:t xml:space="preserve">f. Timeline. </w:t>
      </w:r>
      <w:r>
        <w:rPr>
          <w:rFonts w:ascii="Georgia" w:hAnsi="Georgia" w:cs="Georgia" w:eastAsia="Georgia"/>
          <w:sz w:val="22"/>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sz w:val="24"/>
          <w:szCs w:val="24"/>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sz w:val="24"/>
          <w:szCs w:val="24"/>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a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240" w:after="0" w:line="480" w:lineRule="auto"/>
        <w:jc w:val="center"/>
      </w:pPr>
      <w:r>
        <w:rPr>
          <w:rFonts w:ascii="Georgia" w:hAnsi="Georgia" w:cs="Georgia" w:eastAsia="Georgia"/>
          <w:b/>
          <w:sz w:val="22"/>
          <w:szCs w:val="22"/>
        </w:rPr>
        <w:t>Table 1</w:t>
      </w:r>
    </w:p>
    <w:p>
      <w:pPr>
        <w:keepNext w:val="1"/>
        <w:spacing w:before="0" w:after="60" w:line="480" w:lineRule="auto"/>
        <w:jc w:val="center"/>
      </w:pPr>
      <w:r>
        <w:rPr>
          <w:rFonts w:ascii="Georgia" w:hAnsi="Georgia" w:cs="Georgia" w:eastAsia="Georgia"/>
          <w:sz w:val="22"/>
          <w:szCs w:val="22"/>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b w:val="1"/>
          <w:bCs w:val="1"/>
        </w:rPr>
        <w:t xml:space="preserve">Inclusion Criteria. </w:t>
      </w:r>
      <w:r>
        <w:rPr>
          <w:rFonts w:ascii="Georgia" w:hAnsi="Georgia" w:cs="Georgia" w:eastAsia="Georgia"/>
          <w:sz w:val="22"/>
          <w:b w:val="0"/>
          <w:bCs w:val="0"/>
        </w:rPr>
        <w:t>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keepLines w:val="1"/>
      </w:pPr>
      <w:r>
        <w:rPr>
          <w:rFonts w:ascii="Georgia" w:hAnsi="Georgia" w:cs="Georgia" w:eastAsia="Georgia"/>
          <w:sz w:val="22"/>
          <w:b w:val="1"/>
          <w:bCs w:val="1"/>
        </w:rPr>
        <w:t xml:space="preserve">Exclusion Criteria. </w:t>
      </w:r>
      <w:r>
        <w:rPr>
          <w:rFonts w:ascii="Georgia" w:hAnsi="Georgia" w:cs="Georgia" w:eastAsia="Georgia"/>
          <w:sz w:val="22"/>
          <w:b w:val="0"/>
          <w:bCs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b w:val="1"/>
          <w:bCs w:val="1"/>
        </w:rPr>
        <w:t xml:space="preserve">Ethical Considerations. </w:t>
      </w:r>
      <w:r>
        <w:rPr>
          <w:rFonts w:ascii="Georgia" w:hAnsi="Georgia" w:cs="Georgia" w:eastAsia="Georgia"/>
          <w:sz w:val="22"/>
          <w:b w:val="0"/>
          <w:bCs w:val="0"/>
        </w:rPr>
        <w:t>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sz w:val="28"/>
          <w:szCs w:val="28"/>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sz w:val="24"/>
          <w:szCs w:val="24"/>
        </w:rPr>
      </w:r>
    </w:p>
    <w:p w:rsidR="00000000" w:rsidDel="00000000" w:rsidP="00000000" w:rsidRDefault="00000000" w:rsidRPr="00000000" w14:paraId="000000CB">
      <w:pPr>
        <w:spacing w:before="0" w:after="0" w:line="480" w:lineRule="auto"/>
        <w:ind w:firstLine="720"/>
        <w:jc w:val="both"/>
        <w:rPr/>
      </w:pPr>
      <w:r>
        <w:rPr>
          <w:rFonts w:ascii="Georgia" w:hAnsi="Georgia" w:cs="Georgia" w:eastAsia="Georgia"/>
          <w:sz w:val="22"/>
          <w:szCs w:val="22"/>
        </w:rPr>
        <w:t xml:space="preserve">The coding identified 65 hedge tokens across the 60-abstract corpus, or about 1.08 hedges per abstract. That rate sits near the lower end of published abstract figures. Hu and Cao (2011) reported about 2.04 hedges per abstract in English-medium applied linguistics journals and lower rates in Chinese-medium journals. These tokens were classified into four types following Hyland’s (1998) taxonomy: modal verbs, lexical hedges, adverbial hedges, and clause-level hedges. Table 2 presents the distribution of hedge types across the full corpus.</w:t>
      </w:r>
    </w:p>
    <w:p>
      <w:pPr>
        <w:keepNext w:val="1"/>
        <w:spacing w:before="720" w:after="0" w:line="480" w:lineRule="auto"/>
        <w:jc w:val="center"/>
      </w:pPr>
      <w:r>
        <w:rPr>
          <w:rFonts w:ascii="Georgia" w:hAnsi="Georgia" w:cs="Georgia" w:eastAsia="Georgia"/>
          <w:b/>
          <w:sz w:val="22"/>
          <w:szCs w:val="22"/>
        </w:rPr>
        <w:t>Table 2</w:t>
      </w:r>
    </w:p>
    <w:p>
      <w:pPr>
        <w:keepNext w:val="1"/>
        <w:spacing w:before="0" w:after="60" w:line="480" w:lineRule="auto"/>
        <w:jc w:val="center"/>
      </w:pPr>
      <w:r>
        <w:rPr>
          <w:rFonts w:ascii="Georgia" w:hAnsi="Georgia" w:cs="Georgia" w:eastAsia="Georgia"/>
          <w:sz w:val="22"/>
          <w:szCs w:val="22"/>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2"/>
          <w:szCs w:val="22"/>
        </w:rPr>
        <w:t>Table 4</w:t>
      </w:r>
    </w:p>
    <w:p>
      <w:pPr>
        <w:keepNext w:val="1"/>
        <w:spacing w:before="0" w:after="60" w:line="480" w:lineRule="auto"/>
        <w:jc w:val="center"/>
      </w:pPr>
      <w:r>
        <w:rPr>
          <w:rFonts w:ascii="Georgia" w:hAnsi="Georgia" w:cs="Georgia" w:eastAsia="Georgia"/>
          <w:sz w:val="22"/>
          <w:szCs w:val="22"/>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hAnsi="Georgia" w:cs="Georgia" w:eastAsia="Georgia"/>
          <w:b w:val="0"/>
          <w:bCs w:val="0"/>
          <w:i w:val="0"/>
          <w:iCs w:val="0"/>
          <w:sz w:val="22"/>
          <w:szCs w:val="22"/>
          <w:rtl w:val="0"/>
        </w:rPr>
        <w:t>The corpus also yielded 58 false positive tokens, hedge-like words that were rejected under the codebook’s Step 2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Step 2’s force-reduction check as a secondary screen. Without that position-based rule, keyword matching alone would have counted many topic-naming uses of potential as hedges and inflated the total.</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sz w:val="24"/>
          <w:szCs w:val="24"/>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2"/>
          <w:szCs w:val="22"/>
        </w:rPr>
        <w:t>Table 5</w:t>
      </w:r>
    </w:p>
    <w:p>
      <w:pPr>
        <w:keepNext w:val="1"/>
        <w:spacing w:before="0" w:after="60" w:line="480" w:lineRule="auto"/>
        <w:jc w:val="center"/>
      </w:pPr>
      <w:r>
        <w:rPr>
          <w:rFonts w:ascii="Georgia" w:hAnsi="Georgia" w:cs="Georgia" w:eastAsia="Georgia"/>
          <w:sz w:val="22"/>
          <w:szCs w:val="22"/>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 xml:space="preserve">The false positive distribution also varies by discipline. Biology produced 32 false positives, far more than Agriculture (14) or Veterinary Medicine (12). This is partly because Biology abstracts contain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sz w:val="24"/>
          <w:szCs w:val="24"/>
        </w:rPr>
      </w:r>
    </w:p>
    <w:p w:rsidR="00000000" w:rsidDel="00000000" w:rsidP="00000000" w:rsidRDefault="00000000" w:rsidRPr="00000000" w14:paraId="00000147">
      <w:pPr>
        <w:spacing w:before="0" w:after="0" w:line="480" w:lineRule="auto"/>
        <w:ind w:firstLine="720"/>
        <w:jc w:val="both"/>
        <w:rPr/>
      </w:pPr>
      <w:r>
        <w:rPr>
          <w:rFonts w:ascii="Georgia" w:hAnsi="Georgia" w:cs="Georgia" w:eastAsia="Georgia"/>
          <w:b w:val="0"/>
          <w:i w:val="0"/>
          <w:sz w:val="22"/>
        </w:rPr>
        <w:t xml:space="preserve">All 65 tokens retained as hedges were coded Epistemic Caution (EC). None of those retained tokens were assigned Politeness/Deference (P) or Discourse Organization </w:t>
      </w:r>
      <w:r>
        <w:rPr>
          <w:rFonts w:ascii="Georgia" w:hAnsi="Georgia" w:cs="Georgia" w:eastAsia="Georgia"/>
          <w:b w:val="0"/>
          <w:i w:val="0"/>
          <w:sz w:val="22"/>
          <w:color w:val="000000"/>
        </w:rPr>
        <w:t>(DO)</w:t>
      </w:r>
      <w:r>
        <w:rPr>
          <w:rFonts w:ascii="Georgia" w:hAnsi="Georgia" w:cs="Georgia" w:eastAsia="Georgia"/>
          <w:b w:val="0"/>
          <w:i w:val="0"/>
          <w:sz w:val="22"/>
        </w:rPr>
        <w:t xml:space="preserve">. Discourse connectors such as Hence, Thus, Therefore, and In conclusion appear in the corpus and are tagged </w:t>
      </w:r>
      <w:r>
        <w:rPr>
          <w:rFonts w:ascii="Georgia" w:hAnsi="Georgia" w:cs="Georgia" w:eastAsia="Georgia"/>
          <w:b w:val="0"/>
          <w:i w:val="0"/>
          <w:sz w:val="22"/>
          <w:color w:val="000000"/>
        </w:rPr>
        <w:t>(DO)</w:t>
      </w:r>
      <w:r>
        <w:rPr>
          <w:rFonts w:ascii="Georgia" w:hAnsi="Georgia" w:cs="Georgia" w:eastAsia="Georgia"/>
          <w:b w:val="0"/>
          <w:i w:val="0"/>
          <w:sz w:val="22"/>
        </w:rPr>
        <w:t xml:space="preserve"> in Appendix C but are not counted as hedges when they do not change the epistemic weight of a claim. Table 6 presents the function distribution among retained hedges.</w:t>
      </w:r>
    </w:p>
    <w:p>
      <w:pPr>
        <w:keepNext w:val="1"/>
        <w:spacing w:before="720" w:after="0" w:line="480" w:lineRule="auto"/>
        <w:jc w:val="center"/>
      </w:pPr>
      <w:r>
        <w:rPr>
          <w:rFonts w:ascii="Georgia" w:hAnsi="Georgia" w:cs="Georgia" w:eastAsia="Georgia"/>
          <w:b/>
          <w:sz w:val="22"/>
          <w:szCs w:val="22"/>
        </w:rPr>
        <w:t>Table 6</w:t>
      </w:r>
    </w:p>
    <w:p>
      <w:pPr>
        <w:keepNext w:val="1"/>
        <w:spacing w:before="0" w:after="60" w:line="480" w:lineRule="auto"/>
        <w:jc w:val="center"/>
      </w:pPr>
      <w:r>
        <w:rPr>
          <w:rFonts w:ascii="Georgia" w:hAnsi="Georgia" w:cs="Georgia" w:eastAsia="Georgia"/>
          <w:sz w:val="22"/>
          <w:szCs w:val="22"/>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No retained hedge was independently labeled Politeness or Discourse Organization. Under the Step 2 rule, only claim mitigation enters the retained hedge set, so pure findings framing is logged as discourse organization and does not count in the 65. P-only mitigation could in principle have been retained if it softened how a knowledge claim was put forward without changing commitment. In this corpus no such P forms appeared in the retained set. Discourse connectors that only sequence moves were inspected in Step 1 and kept outside the retained count. Genre compression remains a plausible account of the P null, as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hAnsi="Georgia" w:cs="Georgia" w:eastAsia="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Step 3. In this sample no P candidates entered the retained set. Pure findings framing was logged as discourse organization outside that set.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sz w:val="24"/>
          <w:szCs w:val="24"/>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established frequency, function, and density differences in this corpus. Part IV asks what those differences amount to once outcome type is in view. The aim is not to treat them as stable field traits, but as patterns in these sixty ratified abstracts. Inferential tests remain exploratory (Scope and Limitations). The discussion draws on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2"/>
          <w:szCs w:val="22"/>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i w:val="0"/>
          <w:iCs w:val="0"/>
          <w:rtl w:val="0"/>
          <w:sz w:val="22"/>
          <w:szCs w:val="22"/>
          <w:b w:val="0"/>
          <w:bCs w:val="0"/>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 That reading is an interpretation of the frequency pattern under the claim-responsibility lens, not a tested finding about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sz w:val="28"/>
          <w:szCs w:val="28"/>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sz w:val="24"/>
          <w:szCs w:val="24"/>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This study set out to map how developing researchers at PSAU encode caution in the thesis abstract, a short genre where every claim is visible and already ratified by advisers. The picture that emerges is not a rich, field-by-field rhetoric of uncertainty. It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The abstract is treated as a place to report and to edge implications, not as a place to negotiate interpersonal face or to manage discourse for its own sake.</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 The data cannot name the cause. They can show the textual outcome.</w:t>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sz w:val="24"/>
          <w:szCs w:val="24"/>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 baseline in the conclusions is useful only if it changes what people do next. A map of uneven, lexically narrow caution in ratified abstracts does not, by itself, improve writing. It becomes useful when advisers and researchers treat it as a prompt to act on claim strength rather than on cautious wording for its own sake.</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For teaching, that means dropping the idea of caution as a general polish. Hedging is a judgment about how far a sentence may go beyond the data. Advisers already see the final abstract and often shape it. The opening is to make that judgment visible in feedback, especially where the text turns from results to meaning. Students need help seeing when a finding can stand plain and when an implication needs restraint. They do not need a quota of soft wording, and they do not need to confuse move-organizing language with epistemic caution. Instruction that assumes a full academic hedging repertoire will miss what this campus sample actually shows: many abstracts soften little, and when they do, the work is concentrated and easy to misread as mere style.</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For research, the same baseline is a reference point, not a finding to rest on. The open questions are causal and comparative. How much of the pattern is program practice, how much is language resource, and how much is the mix of study designs that programs tend to produce? Abstract text alone cannot answer those questions. Designs that add other institutions, adviser accounts, draft histories from first version to final abstract, or a proficiency measure would test mechanisms this study could only name. Longer genres and expert abstracts matter for a different reason. They show whether the constrained profile seen here is mainly a product of the short, supervised summary or a wider feature of developing research writing in these fields. Method tools from this thesis can travel with that work. The priority is better questions about cause and scope, not a thicker description of the same sixty texts.</w:t>
      </w:r>
      <w:r>
        <w:rPr>
          <w:rtl w:val="0"/>
        </w:rPr>
        <w:t/>
      </w:r>
      <w:r>
        <w:rPr>
          <w:rFonts w:ascii="Georgia" w:cs="Georgia" w:eastAsia="Georgia" w:hAnsi="Georgia"/>
          <w:b w:val="0"/>
          <w:bCs w:val="0"/>
          <w:i w:val="0"/>
          <w:iCs w:val="0"/>
          <w:sz w:val="22"/>
          <w:szCs w:val="22"/>
          <w:rtl w:val="0"/>
        </w:rPr>
        <w:t/>
      </w:r>
      <w:r>
        <w:rPr>
          <w:rtl w:val="0"/>
        </w:rPr>
      </w:r>
    </w:p>
    <w:p>
      <w:pPr>
        <w:spacing w:line="240" w:lineRule="auto" w:before="0" w:after="0"/>
      </w:pPr>
      <w:r>
        <w:br w:type="page"/>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sz w:val="28"/>
          <w:szCs w:val="28"/>
        </w:rPr>
      </w:r>
    </w:p>
    <w:p w:rsidR="00000000" w:rsidDel="00000000" w:rsidP="00000000" w:rsidRDefault="00000000" w:rsidRPr="00000000" w14:paraId="00000186">
      <w:pPr>
        <w:spacing w:before="0" w:after="0" w:line="480" w:lineRule="auto"/>
        <w:ind w:left="720" w:hanging="720"/>
        <w:jc w:val="left"/>
        <w:rPr/>
      </w:pPr>
      <w:r>
        <w:rPr>
          <w:rFonts w:ascii="Georgia" w:hAnsi="Georgia" w:eastAsia="Georgia" w:cs="Georgia"/>
          <w:i w:val="0"/>
          <w:sz w:val="22"/>
          <w:szCs w:val="22"/>
        </w:rPr>
        <w:t xml:space="preserve">Afshar, H. S., Moradi, M., &amp; Hamzavi, R. (2014). Frequency and type of hedging devices used in the research articles of humanities, basic sciences and agriculture. </w:t>
      </w:r>
      <w:r>
        <w:rPr>
          <w:rFonts w:ascii="Georgia" w:hAnsi="Georgia" w:eastAsia="Georgia" w:cs="Georgia"/>
          <w:i/>
          <w:sz w:val="22"/>
          <w:szCs w:val="22"/>
        </w:rPr>
        <w:t>Procedia – Social and Behavioral Sciences, 136</w:t>
      </w:r>
      <w:r>
        <w:rPr>
          <w:rFonts w:ascii="Georgia" w:hAnsi="Georgia" w:eastAsia="Georgia" w:cs="Georgia"/>
          <w:i w:val="0"/>
          <w:sz w:val="22"/>
          <w:szCs w:val="22"/>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eastAsia="Georgia" w:cs="Georgia"/>
          <w:i w:val="0"/>
          <w:sz w:val="22"/>
          <w:szCs w:val="22"/>
        </w:rPr>
        <w:t xml:space="preserve">Biber, D., Conrad, S., &amp; Reppen, R. (1998). </w:t>
      </w:r>
      <w:r>
        <w:rPr>
          <w:rFonts w:ascii="Georgia" w:hAnsi="Georgia" w:eastAsia="Georgia" w:cs="Georgia"/>
          <w:i/>
          <w:sz w:val="22"/>
          <w:szCs w:val="22"/>
        </w:rPr>
        <w:t>Corpus linguistics: Investigating language structure and use</w:t>
      </w:r>
      <w:r>
        <w:rPr>
          <w:rFonts w:ascii="Georgia" w:hAnsi="Georgia" w:eastAsia="Georgia" w:cs="Georgia"/>
          <w:i w:val="0"/>
          <w:sz w:val="22"/>
          <w:szCs w:val="22"/>
        </w:rPr>
        <w:t>. Cambridge University Press.</w:t>
      </w:r>
    </w:p>
    <w:p>
      <w:pPr>
        <w:spacing w:before="0" w:after="0" w:line="480" w:lineRule="auto"/>
        <w:ind w:left="720" w:hanging="720"/>
        <w:jc w:val="left"/>
        <w:rPr/>
      </w:pPr>
      <w:r>
        <w:rPr>
          <w:rFonts w:ascii="Georgia" w:hAnsi="Georgia" w:eastAsia="Georgia" w:cs="Georgia"/>
          <w:i w:val="0"/>
          <w:sz w:val="22"/>
          <w:szCs w:val="22"/>
        </w:rPr>
        <w:t xml:space="preserve">Crompton, P. (1997). Hedging in academic writing: Some theoretical problems. </w:t>
      </w:r>
      <w:r>
        <w:rPr>
          <w:rFonts w:ascii="Georgia" w:hAnsi="Georgia" w:eastAsia="Georgia" w:cs="Georgia"/>
          <w:i/>
          <w:sz w:val="22"/>
          <w:szCs w:val="22"/>
        </w:rPr>
        <w:t>English for Specific Purposes, 16</w:t>
      </w:r>
      <w:r>
        <w:rPr>
          <w:rFonts w:ascii="Georgia" w:hAnsi="Georgia" w:eastAsia="Georgia" w:cs="Georgia"/>
          <w:i w:val="0"/>
          <w:sz w:val="22"/>
          <w:szCs w:val="22"/>
        </w:rPr>
        <w:t>(4), 271–287. https://doi.org/10.1016/S0889-4906(97)00007-0</w:t>
      </w:r>
    </w:p>
    <w:p w:rsidR="00000000" w:rsidDel="00000000" w:rsidP="00000000" w:rsidRDefault="00000000" w:rsidRPr="00000000" w14:paraId="00000188">
      <w:pPr>
        <w:spacing w:before="0" w:after="0" w:line="480" w:lineRule="auto"/>
        <w:ind w:left="720" w:hanging="720"/>
        <w:jc w:val="left"/>
        <w:rPr/>
      </w:pPr>
      <w:r>
        <w:rPr>
          <w:rFonts w:ascii="Georgia" w:hAnsi="Georgia" w:eastAsia="Georgia" w:cs="Georgia"/>
          <w:i w:val="0"/>
          <w:sz w:val="22"/>
          <w:szCs w:val="22"/>
        </w:rPr>
        <w:t xml:space="preserve">Demir, C. (2018). Hedging and academic writing: An analysis of lexical hedges. </w:t>
      </w:r>
      <w:r>
        <w:rPr>
          <w:rFonts w:ascii="Georgia" w:hAnsi="Georgia" w:eastAsia="Georgia" w:cs="Georgia"/>
          <w:i/>
          <w:sz w:val="22"/>
          <w:szCs w:val="22"/>
        </w:rPr>
        <w:t>Journal of Language and Linguistic Studies, 14</w:t>
      </w:r>
      <w:r>
        <w:rPr>
          <w:rFonts w:ascii="Georgia" w:hAnsi="Georgia" w:eastAsia="Georgia" w:cs="Georgia"/>
          <w:i w:val="0"/>
          <w:sz w:val="22"/>
          <w:szCs w:val="22"/>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eastAsia="Georgia" w:cs="Georgia"/>
          <w:i w:val="0"/>
          <w:sz w:val="22"/>
          <w:szCs w:val="22"/>
        </w:rPr>
        <w:t xml:space="preserve">Escalona, S. L. (2025). Hedges and boosters in college essays: A study of linguistic modulation in student writing. </w:t>
      </w:r>
      <w:r>
        <w:rPr>
          <w:rFonts w:ascii="Georgia" w:hAnsi="Georgia" w:eastAsia="Georgia" w:cs="Georgia"/>
          <w:i/>
          <w:sz w:val="22"/>
          <w:szCs w:val="22"/>
        </w:rPr>
        <w:t>International Journal of English Literature and Social Sciences, 10</w:t>
      </w:r>
      <w:r>
        <w:rPr>
          <w:rFonts w:ascii="Georgia" w:hAnsi="Georgia" w:eastAsia="Georgia" w:cs="Georgia"/>
          <w:i w:val="0"/>
          <w:sz w:val="22"/>
          <w:szCs w:val="22"/>
        </w:rPr>
        <w:t>(1), 7–17. https://doi.org/10.22161/ijels.101.2</w:t>
      </w:r>
    </w:p>
    <w:p>
      <w:pPr>
        <w:spacing w:before="0" w:after="0" w:line="480" w:lineRule="auto"/>
        <w:ind w:left="720" w:hanging="720"/>
        <w:jc w:val="left"/>
        <w:rPr/>
      </w:pPr>
      <w:r>
        <w:rPr>
          <w:rFonts w:ascii="Georgia" w:hAnsi="Georgia" w:eastAsia="Georgia" w:cs="Georgia"/>
          <w:i w:val="0"/>
          <w:sz w:val="22"/>
          <w:szCs w:val="22"/>
        </w:rPr>
        <w:t xml:space="preserve">Ghia, E., Petrocelli, E., &amp; Pizziconi, S. (2022). Data possibly suggest… Hedging in second language writing: A study on advanced Italian EFL learners. </w:t>
      </w:r>
      <w:r>
        <w:rPr>
          <w:rFonts w:ascii="Georgia" w:hAnsi="Georgia" w:eastAsia="Georgia" w:cs="Georgia"/>
          <w:i/>
          <w:sz w:val="22"/>
          <w:szCs w:val="22"/>
        </w:rPr>
        <w:t>Belgrade English Language and Literature Studies, 14</w:t>
      </w:r>
      <w:r>
        <w:rPr>
          <w:rFonts w:ascii="Georgia" w:hAnsi="Georgia" w:eastAsia="Georgia" w:cs="Georgia"/>
          <w:i w:val="0"/>
          <w:sz w:val="22"/>
          <w:szCs w:val="22"/>
        </w:rPr>
        <w:t>, 47–72. https://doi.org/10.18485/bells.2022.14.2</w:t>
      </w:r>
    </w:p>
    <w:p w:rsidR="00000000" w:rsidDel="00000000" w:rsidP="00000000" w:rsidRDefault="00000000" w:rsidRPr="00000000" w14:paraId="0000018A">
      <w:pPr>
        <w:spacing w:before="0" w:after="0" w:line="480" w:lineRule="auto"/>
        <w:ind w:left="720" w:hanging="720"/>
        <w:jc w:val="left"/>
        <w:rPr/>
      </w:pPr>
      <w:r>
        <w:rPr>
          <w:rFonts w:ascii="Georgia" w:hAnsi="Georgia" w:eastAsia="Georgia" w:cs="Georgia"/>
          <w:i w:val="0"/>
          <w:sz w:val="22"/>
          <w:szCs w:val="22"/>
        </w:rPr>
        <w:t xml:space="preserve">Hamidi, H., Najafi Sarem, S., &amp; Lotfi, A. H. (2025). Exploring hedging devices in scientific research papers: A content analysis study of the Medical Journal of the Islamic Republic of Iran. </w:t>
      </w:r>
      <w:r>
        <w:rPr>
          <w:rFonts w:ascii="Georgia" w:hAnsi="Georgia" w:eastAsia="Georgia" w:cs="Georgia"/>
          <w:i/>
          <w:sz w:val="22"/>
          <w:szCs w:val="22"/>
        </w:rPr>
        <w:t>Medical Journal of the Islamic Republic of Iran, 39</w:t>
      </w:r>
      <w:r>
        <w:rPr>
          <w:rFonts w:ascii="Georgia" w:hAnsi="Georgia" w:eastAsia="Georgia" w:cs="Georgia"/>
          <w:i w:val="0"/>
          <w:sz w:val="22"/>
          <w:szCs w:val="22"/>
        </w:rPr>
        <w:t>, Article 125. https://pmc.ncbi.nlm.nih.gov/articles/PMC12584097/</w:t>
      </w:r>
    </w:p>
    <w:p>
      <w:pPr>
        <w:spacing w:before="0" w:after="0" w:line="480" w:lineRule="auto"/>
        <w:ind w:left="720" w:hanging="720"/>
        <w:jc w:val="left"/>
        <w:rPr/>
      </w:pPr>
      <w:r>
        <w:rPr>
          <w:rFonts w:ascii="Georgia" w:hAnsi="Georgia" w:eastAsia="Georgia" w:cs="Georgia"/>
          <w:i w:val="0"/>
          <w:sz w:val="22"/>
          <w:szCs w:val="22"/>
        </w:rPr>
        <w:t xml:space="preserve">Hu, G., &amp; Cao, F. (2011). Hedging and boosting in abstracts of applied linguistics articles: A comparative study of English- and Chinese-medium journals. </w:t>
      </w:r>
      <w:r>
        <w:rPr>
          <w:rFonts w:ascii="Georgia" w:hAnsi="Georgia" w:eastAsia="Georgia" w:cs="Georgia"/>
          <w:i/>
          <w:sz w:val="22"/>
          <w:szCs w:val="22"/>
        </w:rPr>
        <w:t>Journal of Pragmatics, 43</w:t>
      </w:r>
      <w:r>
        <w:rPr>
          <w:rFonts w:ascii="Georgia" w:hAnsi="Georgia" w:eastAsia="Georgia" w:cs="Georgia"/>
          <w:i w:val="0"/>
          <w:sz w:val="22"/>
          <w:szCs w:val="22"/>
        </w:rPr>
        <w:t>(11), 2795–2809. https://doi.org/10.1016/j.pragma.2011.04.007</w:t>
      </w:r>
    </w:p>
    <w:p>
      <w:pPr>
        <w:spacing w:before="0" w:after="0" w:line="480" w:lineRule="auto"/>
        <w:ind w:left="720" w:hanging="720"/>
        <w:jc w:val="left"/>
        <w:rPr/>
      </w:pPr>
      <w:r>
        <w:rPr>
          <w:rFonts w:ascii="Georgia" w:hAnsi="Georgia" w:eastAsia="Georgia" w:cs="Georgia"/>
          <w:i w:val="0"/>
          <w:sz w:val="22"/>
          <w:szCs w:val="22"/>
        </w:rPr>
        <w:t xml:space="preserve">Hyland, K. (1996). Writing without conviction? Hedging in science research articles. </w:t>
      </w:r>
      <w:r>
        <w:rPr>
          <w:rFonts w:ascii="Georgia" w:hAnsi="Georgia" w:eastAsia="Georgia" w:cs="Georgia"/>
          <w:i/>
          <w:sz w:val="22"/>
          <w:szCs w:val="22"/>
        </w:rPr>
        <w:t>Applied Linguistics, 17</w:t>
      </w:r>
      <w:r>
        <w:rPr>
          <w:rFonts w:ascii="Georgia" w:hAnsi="Georgia" w:eastAsia="Georgia" w:cs="Georgia"/>
          <w:i w:val="0"/>
          <w:sz w:val="22"/>
          <w:szCs w:val="22"/>
        </w:rPr>
        <w:t>(4), 433–454. https://doi.org/10.1093/applin/17.4.433</w:t>
      </w:r>
    </w:p>
    <w:p w:rsidR="00000000" w:rsidDel="00000000" w:rsidP="00000000" w:rsidRDefault="00000000" w:rsidRPr="00000000" w14:paraId="0000018B">
      <w:pPr>
        <w:spacing w:before="0" w:after="0" w:line="480" w:lineRule="auto"/>
        <w:ind w:left="720" w:hanging="720"/>
        <w:jc w:val="left"/>
        <w:rPr/>
      </w:pPr>
      <w:r>
        <w:rPr>
          <w:rFonts w:ascii="Georgia" w:hAnsi="Georgia" w:eastAsia="Georgia" w:cs="Georgia"/>
          <w:i w:val="0"/>
          <w:sz w:val="22"/>
          <w:szCs w:val="22"/>
        </w:rPr>
        <w:t xml:space="preserve">Hyland, K. (1998). </w:t>
      </w:r>
      <w:r>
        <w:rPr>
          <w:rFonts w:ascii="Georgia" w:hAnsi="Georgia" w:eastAsia="Georgia" w:cs="Georgia"/>
          <w:i/>
          <w:sz w:val="22"/>
          <w:szCs w:val="22"/>
        </w:rPr>
        <w:t>Hedging in scientific research articles</w:t>
      </w:r>
      <w:r>
        <w:rPr>
          <w:rFonts w:ascii="Georgia" w:hAnsi="Georgia" w:eastAsia="Georgia" w:cs="Georgia"/>
          <w:i w:val="0"/>
          <w:sz w:val="22"/>
          <w:szCs w:val="22"/>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eastAsia="Georgia" w:cs="Georgia"/>
          <w:i w:val="0"/>
          <w:sz w:val="22"/>
          <w:szCs w:val="22"/>
        </w:rPr>
        <w:t xml:space="preserve">Hyland, K. (2005). Stance and engagement: A model of interaction in academic discourse. </w:t>
      </w:r>
      <w:r>
        <w:rPr>
          <w:rFonts w:ascii="Georgia" w:hAnsi="Georgia" w:eastAsia="Georgia" w:cs="Georgia"/>
          <w:i/>
          <w:sz w:val="22"/>
          <w:szCs w:val="22"/>
        </w:rPr>
        <w:t>Discourse Studies, 7</w:t>
      </w:r>
      <w:r>
        <w:rPr>
          <w:rFonts w:ascii="Georgia" w:hAnsi="Georgia" w:eastAsia="Georgia" w:cs="Georgia"/>
          <w:i w:val="0"/>
          <w:sz w:val="22"/>
          <w:szCs w:val="22"/>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eastAsia="Georgia" w:cs="Georgia"/>
          <w:i w:val="0"/>
          <w:sz w:val="22"/>
          <w:szCs w:val="22"/>
        </w:rPr>
        <w:t xml:space="preserve">Hyland, K., &amp; Milton, J. (1997). Qualification and certainty in L1 and L2 students’ writing. </w:t>
      </w:r>
      <w:r>
        <w:rPr>
          <w:rFonts w:ascii="Georgia" w:hAnsi="Georgia" w:eastAsia="Georgia" w:cs="Georgia"/>
          <w:i/>
          <w:sz w:val="22"/>
          <w:szCs w:val="22"/>
        </w:rPr>
        <w:t>Journal of Second Language Writing, 6</w:t>
      </w:r>
      <w:r>
        <w:rPr>
          <w:rFonts w:ascii="Georgia" w:hAnsi="Georgia" w:eastAsia="Georgia" w:cs="Georgia"/>
          <w:i w:val="0"/>
          <w:sz w:val="22"/>
          <w:szCs w:val="22"/>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eastAsia="Georgia" w:cs="Georgia"/>
          <w:i w:val="0"/>
          <w:sz w:val="22"/>
          <w:szCs w:val="22"/>
        </w:rPr>
        <w:t xml:space="preserve">Imataki, N., &amp; Kobayashi, Y. (2024). Analyzing disciplinary variation in abstracts: Linguistic features across scientific and technical fields. </w:t>
      </w:r>
      <w:r>
        <w:rPr>
          <w:rFonts w:ascii="Georgia" w:hAnsi="Georgia" w:eastAsia="Georgia" w:cs="Georgia"/>
          <w:i/>
          <w:sz w:val="22"/>
          <w:szCs w:val="22"/>
        </w:rPr>
        <w:t>Linguistics and Literature Studies, 12</w:t>
      </w:r>
      <w:r>
        <w:rPr>
          <w:rFonts w:ascii="Georgia" w:hAnsi="Georgia" w:eastAsia="Georgia" w:cs="Georgia"/>
          <w:i w:val="0"/>
          <w:sz w:val="22"/>
          <w:szCs w:val="22"/>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eastAsia="Georgia" w:cs="Georgia"/>
          <w:i w:val="0"/>
          <w:sz w:val="22"/>
          <w:szCs w:val="22"/>
        </w:rPr>
        <w:t xml:space="preserve">Khunasathitchai, K., Sittironnarit, S., Sinturat, T., &amp; Kumdee, S. (2025). Move analysis and hedge use in the research paper abstracts of Thai EFL English-majored undergraduates. </w:t>
      </w:r>
      <w:r>
        <w:rPr>
          <w:rFonts w:ascii="Georgia" w:hAnsi="Georgia" w:eastAsia="Georgia" w:cs="Georgia"/>
          <w:i/>
          <w:sz w:val="22"/>
          <w:szCs w:val="22"/>
        </w:rPr>
        <w:t>rEFLections, 32</w:t>
      </w:r>
      <w:r>
        <w:rPr>
          <w:rFonts w:ascii="Georgia" w:hAnsi="Georgia" w:eastAsia="Georgia" w:cs="Georgia"/>
          <w:i w:val="0"/>
          <w:sz w:val="22"/>
          <w:szCs w:val="22"/>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eastAsia="Georgia" w:cs="Georgia"/>
          <w:i w:val="0"/>
          <w:sz w:val="22"/>
          <w:szCs w:val="22"/>
        </w:rPr>
        <w:t xml:space="preserve">Landis, J. R., &amp; Koch, G. G. (1977). The measurement of observer agreement for categorical data. </w:t>
      </w:r>
      <w:r>
        <w:rPr>
          <w:rFonts w:ascii="Georgia" w:hAnsi="Georgia" w:eastAsia="Georgia" w:cs="Georgia"/>
          <w:i/>
          <w:sz w:val="22"/>
          <w:szCs w:val="22"/>
        </w:rPr>
        <w:t>Biometrics, 33</w:t>
      </w:r>
      <w:r>
        <w:rPr>
          <w:rFonts w:ascii="Georgia" w:hAnsi="Georgia" w:eastAsia="Georgia" w:cs="Georgia"/>
          <w:i w:val="0"/>
          <w:sz w:val="22"/>
          <w:szCs w:val="22"/>
        </w:rPr>
        <w:t>(1), 159–174. https://doi.org/10.2307/2529310</w:t>
      </w:r>
    </w:p>
    <w:p>
      <w:pPr>
        <w:spacing w:before="0" w:after="0" w:line="480" w:lineRule="auto"/>
        <w:ind w:left="720" w:hanging="720"/>
        <w:jc w:val="left"/>
        <w:rPr/>
      </w:pPr>
      <w:r>
        <w:rPr>
          <w:rFonts w:ascii="Georgia" w:hAnsi="Georgia" w:eastAsia="Georgia" w:cs="Georgia"/>
          <w:i w:val="0"/>
          <w:sz w:val="22"/>
          <w:szCs w:val="22"/>
        </w:rPr>
        <w:t xml:space="preserve">Lopez, R. M. C., Pedida, J. A., Alzate, L. J. A., &amp; Eustaquio, M. T. L. (2025). Language of caution and certainty: Writing proficiency in hedges and boosters in student essays. </w:t>
      </w:r>
      <w:r>
        <w:rPr>
          <w:rFonts w:ascii="Georgia" w:hAnsi="Georgia" w:eastAsia="Georgia" w:cs="Georgia"/>
          <w:i/>
          <w:sz w:val="22"/>
          <w:szCs w:val="22"/>
        </w:rPr>
        <w:t>International Journal of Research and Innovation in Social Science, 9</w:t>
      </w:r>
      <w:r>
        <w:rPr>
          <w:rFonts w:ascii="Georgia" w:hAnsi="Georgia" w:eastAsia="Georgia" w:cs="Georgia"/>
          <w:i w:val="0"/>
          <w:sz w:val="22"/>
          <w:szCs w:val="22"/>
        </w:rPr>
        <w:t>(11), 6176–6196. https://doi.org/10.47772/IJRISS.2025.91100485</w:t>
      </w:r>
    </w:p>
    <w:p>
      <w:pPr>
        <w:spacing w:before="0" w:after="0" w:line="480" w:lineRule="auto"/>
        <w:ind w:left="720" w:hanging="720"/>
        <w:jc w:val="left"/>
        <w:rPr/>
      </w:pPr>
      <w:r>
        <w:rPr>
          <w:rFonts w:ascii="Georgia" w:hAnsi="Georgia" w:eastAsia="Georgia" w:cs="Georgia"/>
          <w:i w:val="0"/>
          <w:sz w:val="22"/>
          <w:szCs w:val="22"/>
        </w:rPr>
        <w:t xml:space="preserve">Mazidah, E. N., Cahyani, W. I., &amp; Masruroh, L. (2022). Hedges and boosters in undergraduate thesis abstracts of Qomaruddin University students. </w:t>
      </w:r>
      <w:r>
        <w:rPr>
          <w:rFonts w:ascii="Georgia" w:hAnsi="Georgia" w:eastAsia="Georgia" w:cs="Georgia"/>
          <w:i/>
          <w:sz w:val="22"/>
          <w:szCs w:val="22"/>
        </w:rPr>
        <w:t>Journal of Education, Humaniora and Social Sciences (JEHSS), 4</w:t>
      </w:r>
      <w:r>
        <w:rPr>
          <w:rFonts w:ascii="Georgia" w:hAnsi="Georgia" w:eastAsia="Georgia" w:cs="Georgia"/>
          <w:i w:val="0"/>
          <w:sz w:val="22"/>
          <w:szCs w:val="22"/>
        </w:rPr>
        <w:t>(3), 1657–1663. https://doi.org/10.34007/jehss.v4i3.925</w:t>
      </w:r>
    </w:p>
    <w:p w:rsidR="00000000" w:rsidDel="00000000" w:rsidP="00000000" w:rsidRDefault="00000000" w:rsidRPr="00000000" w14:paraId="00000193">
      <w:pPr>
        <w:spacing w:before="0" w:after="0" w:line="480" w:lineRule="auto"/>
        <w:ind w:left="720" w:hanging="720"/>
        <w:jc w:val="left"/>
        <w:rPr/>
      </w:pPr>
      <w:r>
        <w:rPr>
          <w:rFonts w:ascii="Georgia" w:hAnsi="Georgia" w:eastAsia="Georgia" w:cs="Georgia"/>
          <w:i w:val="0"/>
          <w:sz w:val="22"/>
          <w:szCs w:val="22"/>
        </w:rPr>
        <w:t xml:space="preserve">Mohammed, S. J. (2011). </w:t>
      </w:r>
      <w:r>
        <w:rPr>
          <w:rFonts w:ascii="Georgia" w:hAnsi="Georgia" w:eastAsia="Georgia" w:cs="Georgia"/>
          <w:i/>
          <w:sz w:val="22"/>
          <w:szCs w:val="22"/>
        </w:rPr>
        <w:t>Lexical hedges: A study of cultural and disciplinary variation in academic research articles</w:t>
      </w:r>
      <w:r>
        <w:rPr>
          <w:rFonts w:ascii="Georgia" w:hAnsi="Georgia" w:eastAsia="Georgia" w:cs="Georgia"/>
          <w:i w:val="0"/>
          <w:sz w:val="22"/>
          <w:szCs w:val="22"/>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eastAsia="Georgia" w:cs="Georgia"/>
          <w:i w:val="0"/>
          <w:sz w:val="22"/>
          <w:szCs w:val="22"/>
        </w:rPr>
        <w:t xml:space="preserve">Ningrum, S., Puspita, H., &amp; Mulyadi, A. I. (2024). Hedges and boosters in academic writing of ASEAN EFL learners. </w:t>
      </w:r>
      <w:r>
        <w:rPr>
          <w:rFonts w:ascii="Georgia" w:hAnsi="Georgia" w:eastAsia="Georgia" w:cs="Georgia"/>
          <w:i/>
          <w:sz w:val="22"/>
          <w:szCs w:val="22"/>
        </w:rPr>
        <w:t>Journal of English Education and Teaching, 8</w:t>
      </w:r>
      <w:r>
        <w:rPr>
          <w:rFonts w:ascii="Georgia" w:hAnsi="Georgia" w:eastAsia="Georgia" w:cs="Georgia"/>
          <w:i w:val="0"/>
          <w:sz w:val="22"/>
          <w:szCs w:val="22"/>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eastAsia="Georgia" w:cs="Georgia"/>
          <w:i w:val="0"/>
          <w:sz w:val="22"/>
          <w:szCs w:val="22"/>
        </w:rPr>
        <w:t xml:space="preserve">Petchkij, W. (2019). Explicit teaching of hedges: Bringing hedging in academic writing into the Thai EFL classroom. </w:t>
      </w:r>
      <w:r>
        <w:rPr>
          <w:rFonts w:ascii="Georgia" w:hAnsi="Georgia" w:eastAsia="Georgia" w:cs="Georgia"/>
          <w:i/>
          <w:sz w:val="22"/>
          <w:szCs w:val="22"/>
        </w:rPr>
        <w:t>Electronic Journal of Foreign Language Teaching, 16</w:t>
      </w:r>
      <w:r>
        <w:rPr>
          <w:rFonts w:ascii="Georgia" w:hAnsi="Georgia" w:eastAsia="Georgia" w:cs="Georgia"/>
          <w:i w:val="0"/>
          <w:sz w:val="22"/>
          <w:szCs w:val="22"/>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eastAsia="Georgia" w:cs="Georgia"/>
          <w:i w:val="0"/>
          <w:sz w:val="22"/>
          <w:szCs w:val="22"/>
        </w:rPr>
        <w:t xml:space="preserve">Salager-Meyer, F. (1994). Hedges and textual communicative function in medical English written discourse. </w:t>
      </w:r>
      <w:r>
        <w:rPr>
          <w:rFonts w:ascii="Georgia" w:hAnsi="Georgia" w:eastAsia="Georgia" w:cs="Georgia"/>
          <w:i/>
          <w:sz w:val="22"/>
          <w:szCs w:val="22"/>
        </w:rPr>
        <w:t>English for Specific Purposes, 13</w:t>
      </w:r>
      <w:r>
        <w:rPr>
          <w:rFonts w:ascii="Georgia" w:hAnsi="Georgia" w:eastAsia="Georgia" w:cs="Georgia"/>
          <w:i w:val="0"/>
          <w:sz w:val="22"/>
          <w:szCs w:val="22"/>
        </w:rPr>
        <w:t>(2), 149–170. https://doi.org/10.1016/0889-4906(94)90013-2</w:t>
      </w:r>
    </w:p>
    <w:p>
      <w:pPr>
        <w:spacing w:before="0" w:after="0" w:line="480" w:lineRule="auto"/>
        <w:ind w:left="720" w:hanging="720"/>
        <w:jc w:val="left"/>
        <w:rPr/>
      </w:pPr>
      <w:r>
        <w:rPr>
          <w:rFonts w:ascii="Georgia" w:hAnsi="Georgia" w:eastAsia="Georgia" w:cs="Georgia"/>
          <w:i w:val="0"/>
          <w:sz w:val="22"/>
          <w:szCs w:val="22"/>
        </w:rPr>
        <w:t xml:space="preserve">Souici, F., &amp; Slougui, D. (2022). Hedges in biology research articles: What types and frequency do Algerian authors use? </w:t>
      </w:r>
      <w:r>
        <w:rPr>
          <w:rFonts w:ascii="Georgia" w:hAnsi="Georgia" w:eastAsia="Georgia" w:cs="Georgia"/>
          <w:i/>
          <w:sz w:val="22"/>
          <w:szCs w:val="22"/>
        </w:rPr>
        <w:t>Journal of Human Sciences, 33</w:t>
      </w:r>
      <w:r>
        <w:rPr>
          <w:rFonts w:ascii="Georgia" w:hAnsi="Georgia" w:eastAsia="Georgia" w:cs="Georgia"/>
          <w:i w:val="0"/>
          <w:sz w:val="22"/>
          <w:szCs w:val="22"/>
        </w:rPr>
        <w:t>(4), 49–59. https://revue.umc.edu.dz/h/article/view/4015</w:t>
      </w:r>
    </w:p>
    <w:p w:rsidR="00000000" w:rsidDel="00000000" w:rsidP="00000000" w:rsidRDefault="00000000" w:rsidRPr="00000000" w14:paraId="00000197">
      <w:pPr>
        <w:spacing w:before="0" w:after="0" w:line="480" w:lineRule="auto"/>
        <w:ind w:left="720" w:hanging="720"/>
        <w:jc w:val="left"/>
        <w:rPr/>
      </w:pPr>
      <w:r>
        <w:rPr>
          <w:rFonts w:ascii="Georgia" w:hAnsi="Georgia" w:eastAsia="Georgia" w:cs="Georgia"/>
          <w:i w:val="0"/>
          <w:sz w:val="22"/>
          <w:szCs w:val="22"/>
        </w:rPr>
        <w:t xml:space="preserve">Suratno, A., &amp; Aydawati, E. N. (2025). Hedging strategies in non-science theses: A corpus-based analysis of discussion sections. </w:t>
      </w:r>
      <w:r>
        <w:rPr>
          <w:rFonts w:ascii="Georgia" w:hAnsi="Georgia" w:eastAsia="Georgia" w:cs="Georgia"/>
          <w:i/>
          <w:sz w:val="22"/>
          <w:szCs w:val="22"/>
        </w:rPr>
        <w:t>ETERNAL (English Teaching Journal), 16</w:t>
      </w:r>
      <w:r>
        <w:rPr>
          <w:rFonts w:ascii="Georgia" w:hAnsi="Georgia" w:eastAsia="Georgia" w:cs="Georgia"/>
          <w:i w:val="0"/>
          <w:sz w:val="22"/>
          <w:szCs w:val="22"/>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eastAsia="Georgia" w:cs="Georgia"/>
          <w:i w:val="0"/>
          <w:sz w:val="22"/>
          <w:szCs w:val="22"/>
        </w:rPr>
        <w:t xml:space="preserve">Villanueva, V. S. (2014). Hedging devices in Philippine newspaper editorials. </w:t>
      </w:r>
      <w:r>
        <w:rPr>
          <w:rFonts w:ascii="Georgia" w:hAnsi="Georgia" w:eastAsia="Georgia" w:cs="Georgia"/>
          <w:i/>
          <w:sz w:val="22"/>
          <w:szCs w:val="22"/>
        </w:rPr>
        <w:t>Asian Journal of English Language Studies, 2</w:t>
      </w:r>
      <w:r>
        <w:rPr>
          <w:rFonts w:ascii="Georgia" w:hAnsi="Georgia" w:eastAsia="Georgia" w:cs="Georgia"/>
          <w:i w:val="0"/>
          <w:sz w:val="22"/>
          <w:szCs w:val="22"/>
        </w:rPr>
        <w:t>, 103–117. https://doi.org/10.59960/2.a5</w:t>
      </w:r>
    </w:p>
    <w:p w:rsidR="00000000" w:rsidDel="00000000" w:rsidP="00000000" w:rsidRDefault="00000000" w:rsidRPr="00000000" w14:paraId="00000199">
      <w:pPr>
        <w:spacing w:before="0" w:after="0" w:line="480" w:lineRule="auto"/>
        <w:ind w:left="720" w:hanging="720"/>
        <w:jc w:val="left"/>
        <w:rPr/>
        <w:keepNext w:val="1"/>
        <w:keepLines w:val="1"/>
      </w:pPr>
      <w:r>
        <w:rPr>
          <w:rFonts w:ascii="Georgia" w:hAnsi="Georgia" w:eastAsia="Georgia" w:cs="Georgia"/>
          <w:i w:val="0"/>
          <w:sz w:val="22"/>
          <w:szCs w:val="22"/>
        </w:rPr>
        <w:t xml:space="preserve">Wang, X. (2022). </w:t>
      </w:r>
      <w:r>
        <w:rPr>
          <w:rFonts w:ascii="Georgia" w:hAnsi="Georgia" w:eastAsia="Georgia" w:cs="Georgia"/>
          <w:i/>
          <w:sz w:val="22"/>
          <w:szCs w:val="22"/>
        </w:rPr>
        <w:t>Hedging in academic writing: Cross-disciplinary comparisons in the Michigan Corpus of Upper-Level Student Papers (MICUSP)</w:t>
      </w:r>
      <w:r>
        <w:rPr>
          <w:rFonts w:ascii="Georgia" w:hAnsi="Georgia" w:eastAsia="Georgia" w:cs="Georgia"/>
          <w:i w:val="0"/>
          <w:sz w:val="22"/>
          <w:szCs w:val="22"/>
        </w:rPr>
        <w:t xml:space="preserve"> [Preprint]. OSF Preprints. https://osf.io/preprints/edarxiv/5xj27</w:t>
      </w:r>
    </w:p>
    <w:p>
      <w:pPr>
        <w:spacing w:before="0" w:after="0" w:line="480" w:lineRule="auto"/>
        <w:ind w:left="720" w:hanging="720"/>
        <w:jc w:val="left"/>
        <w:rPr/>
        <w:keepLines w:val="1"/>
        <w:widowControl w:val="1"/>
      </w:pPr>
      <w:r>
        <w:rPr>
          <w:rFonts w:ascii="Georgia" w:hAnsi="Georgia" w:eastAsia="Georgia" w:cs="Georgia"/>
          <w:i w:val="0"/>
          <w:sz w:val="22"/>
          <w:szCs w:val="22"/>
        </w:rPr>
        <w:t xml:space="preserve">Xie, S., &amp; Mi, C. (2023). Promotion and caution in research article abstracts: The use of positive, negative and hedge words across disciplines and rankings. </w:t>
      </w:r>
      <w:r>
        <w:rPr>
          <w:rFonts w:ascii="Georgia" w:hAnsi="Georgia" w:eastAsia="Georgia" w:cs="Georgia"/>
          <w:i/>
          <w:sz w:val="22"/>
          <w:szCs w:val="22"/>
        </w:rPr>
        <w:t>Learned Publishing, 36</w:t>
      </w:r>
      <w:r>
        <w:rPr>
          <w:rFonts w:ascii="Georgia" w:hAnsi="Georgia" w:eastAsia="Georgia" w:cs="Georgia"/>
          <w:i w:val="0"/>
          <w:sz w:val="22"/>
          <w:szCs w:val="22"/>
        </w:rPr>
        <w:t>(2), 249–265. https://doi.org/10.1002/leap.1515</w:t>
      </w:r>
    </w:p>
    <w:p w:rsidR="00000000" w:rsidDel="00000000" w:rsidP="00000000" w:rsidRDefault="00000000" w:rsidRPr="00000000" w14:paraId="0000019B">
      <w:pPr>
        <w:keepNext w:val="1"/>
        <w:spacing w:before="240" w:after="240" w:line="240" w:lineRule="auto"/>
        <w:jc w:val="center"/>
        <w:rPr/>
        <w:pageBreakBefore w:val="1"/>
      </w:pPr>
      <w:r>
        <w:rPr>
          <w:rFonts w:ascii="Georgia" w:cs="Georgia" w:eastAsia="Georgia" w:hAnsi="Georgia"/>
          <w:b w:val="1"/>
          <w:bCs w:val="1"/>
          <w:i w:val="0"/>
          <w:iCs w:val="0"/>
          <w:sz w:val="28"/>
          <w:szCs w:val="28"/>
          <w:rtl w:val="0"/>
        </w:rPr>
        <w:t xml:space="preserve">APPENDICES</w:t>
      </w:r>
      <w:r>
        <w:rPr>
          <w:rtl w:val="0"/>
          <w:sz w:val="28"/>
          <w:szCs w:val="28"/>
        </w:rPr>
      </w:r>
    </w:p>
    <w:p w:rsidR="00000000" w:rsidDel="00000000" w:rsidP="00000000" w:rsidRDefault="00000000" w:rsidRPr="00000000" w14:paraId="0000019F">
      <w:pPr>
        <w:spacing w:before="60" w:after="40" w:line="220" w:lineRule="auto"/>
        <w:jc w:val="left"/>
        <w:rPr/>
      </w:pPr>
      <w:r>
        <w:rPr>
          <w:rFonts w:ascii="Georgia" w:cs="Georgia" w:eastAsia="Georgia" w:hAnsi="Georgia"/>
          <w:b w:val="1"/>
          <w:bCs w:val="1"/>
          <w:sz w:val="28"/>
          <w:szCs w:val="28"/>
          <w:rtl w:val="0"/>
        </w:rPr>
        <w:t xml:space="preserve">APPENDIX A: HEDGING CODEBOOK</w:t>
      </w:r>
      <w:r>
        <w:rPr>
          <w:rtl w:val="0"/>
          <w:sz w:val="28"/>
          <w:szCs w:val="28"/>
        </w:rPr>
      </w:r>
    </w:p>
    <w:p w:rsidR="00000000" w:rsidDel="00000000" w:rsidP="00000000" w:rsidRDefault="00000000" w:rsidRPr="00000000" w14:paraId="000001A0">
      <w:pPr>
        <w:spacing w:before="20" w:after="20" w:line="220" w:lineRule="auto"/>
        <w:jc w:val="both"/>
        <w:rPr/>
      </w:pPr>
      <w:r>
        <w:rPr>
          <w:rFonts w:ascii="Georgia" w:hAnsi="Georgia" w:cs="Georgia" w:eastAsia="Georgia"/>
          <w:b w:val="0"/>
          <w:sz w:val="22"/>
          <w:szCs w:val="22"/>
        </w:rPr>
        <w:t>• Lookup: Quick-Reference + Legend (p. 1). Full Codebook from p. 2. Coding sheet columns at end.</w:t>
      </w:r>
    </w:p>
    <w:p w:rsidR="00000000" w:rsidDel="00000000" w:rsidP="00000000" w:rsidRDefault="00000000" w:rsidRPr="00000000" w14:paraId="000001A2">
      <w:pPr>
        <w:spacing w:before="0" w:after="0" w:line="220" w:lineRule="auto"/>
        <w:jc w:val="left"/>
        <w:rPr/>
      </w:pPr>
      <w:r>
        <w:rPr>
          <w:rFonts w:ascii="Georgia" w:hAnsi="Georgia" w:cs="Georgia" w:eastAsia="Georgia"/>
          <w:b/>
          <w:bCs w:val="1"/>
          <w:sz w:val="24"/>
          <w:szCs w:val="24"/>
          <w:rtl w:val="0"/>
        </w:rPr>
        <w:t>QUICK-REFERENCE</w:t>
      </w:r>
      <w:r>
        <w:rPr>
          <w:rtl w:val="0"/>
          <w:sz w:val="24"/>
          <w:szCs w:val="24"/>
        </w:rPr>
      </w:r>
    </w:p>
    <w:p w:rsidR="00000000" w:rsidDel="00000000" w:rsidP="00000000" w:rsidRDefault="00000000" w:rsidRPr="00000000" w14:paraId="000001A3">
      <w:pPr>
        <w:spacing w:before="0" w:after="0" w:line="220" w:lineRule="auto"/>
        <w:jc w:val="both"/>
        <w:rPr/>
      </w:pPr>
      <w:r>
        <w:rPr>
          <w:rFonts w:ascii="Georgia" w:hAnsi="Georgia" w:cs="Georgia" w:eastAsia="Georgia"/>
          <w:b w:val="0"/>
          <w:bCs w:val="0"/>
          <w:sz w:val="24"/>
          <w:szCs w:val="24"/>
          <w:rtl w:val="0"/>
        </w:rPr>
        <w:t>• Context decides. A listed word is a hedge only when it works as one in the sentence.</w:t>
      </w:r>
      <w:r>
        <w:rPr>
          <w:rtl w:val="0"/>
          <w:sz w:val="24"/>
          <w:szCs w:val="24"/>
        </w:rPr>
      </w:r>
    </w:p>
    <w:p w:rsidR="00000000" w:rsidDel="00000000" w:rsidP="00000000" w:rsidRDefault="00000000" w:rsidRPr="00000000" w14:paraId="000001A4">
      <w:pPr>
        <w:spacing w:before="0" w:after="0" w:line="220" w:lineRule="auto"/>
        <w:jc w:val="left"/>
        <w:rPr/>
      </w:pPr>
      <w:r>
        <w:rPr>
          <w:rFonts w:ascii="Georgia" w:hAnsi="Georgia" w:cs="Georgia" w:eastAsia="Georgia"/>
          <w:b/>
          <w:bCs w:val="1"/>
          <w:sz w:val="24"/>
          <w:szCs w:val="24"/>
          <w:rtl w:val="0"/>
        </w:rPr>
        <w:t>Types</w:t>
      </w:r>
      <w:r>
        <w:rPr>
          <w:rtl w:val="0"/>
          <w:sz w:val="24"/>
          <w:szCs w:val="24"/>
        </w:rPr>
      </w:r>
    </w:p>
    <w:p w:rsidR="00000000" w:rsidDel="00000000" w:rsidP="00000000" w:rsidRDefault="00000000" w:rsidRPr="00000000" w14:paraId="000001A5">
      <w:pPr>
        <w:spacing w:before="0" w:after="0" w:line="220" w:lineRule="auto"/>
        <w:ind w:left="240" w:firstLine="0"/>
        <w:jc w:val="both"/>
        <w:rPr/>
      </w:pPr>
      <w:r>
        <w:rPr>
          <w:rFonts w:ascii="Georgia" w:hAnsi="Georgia" w:cs="Georgia" w:eastAsia="Georgia"/>
          <w:b w:val="0"/>
          <w:bCs w:val="0"/>
          <w:sz w:val="22"/>
          <w:szCs w:val="22"/>
          <w:rtl w:val="0"/>
        </w:rPr>
        <w:t>• Modal: may, might, could, would, should, can (possibility only, not capability or obligation).</w:t>
      </w:r>
      <w:r>
        <w:rPr>
          <w:rtl w:val="0"/>
          <w:sz w:val="22"/>
          <w:szCs w:val="22"/>
        </w:rPr>
      </w:r>
    </w:p>
    <w:p w:rsidR="00000000" w:rsidDel="00000000" w:rsidP="00000000" w:rsidRDefault="00000000" w:rsidRPr="00000000" w14:paraId="000001A6">
      <w:pPr>
        <w:spacing w:before="0" w:after="0" w:line="220" w:lineRule="auto"/>
        <w:ind w:left="240" w:firstLine="0"/>
        <w:jc w:val="both"/>
        <w:rPr/>
      </w:pPr>
      <w:r>
        <w:rPr>
          <w:rFonts w:ascii="Georgia" w:hAnsi="Georgia" w:cs="Georgia" w:eastAsia="Georgia"/>
          <w:i w:val="0"/>
          <w:sz w:val="22"/>
          <w:szCs w:val="22"/>
          <w:rtl w:val="0"/>
          <w:b w:val="0"/>
          <w:bCs w:val="0"/>
        </w:rPr>
        <w:t>• Lexical: suggest, indicate, appear, seem, possible, likely, potential (when they qualify a claim and pass Step 2).</w:t>
      </w:r>
      <w:r>
        <w:rPr>
          <w:rtl w:val="0"/>
          <w:sz w:val="22"/>
          <w:szCs w:val="22"/>
        </w:rPr>
      </w:r>
    </w:p>
    <w:p w:rsidR="00000000" w:rsidDel="00000000" w:rsidP="00000000" w:rsidRDefault="00000000" w:rsidRPr="00000000" w14:paraId="000001A7">
      <w:pPr>
        <w:spacing w:before="0" w:after="0" w:line="220" w:lineRule="auto"/>
        <w:ind w:left="240" w:firstLine="0"/>
        <w:jc w:val="both"/>
        <w:rPr/>
      </w:pPr>
      <w:r>
        <w:rPr>
          <w:rFonts w:ascii="Georgia" w:hAnsi="Georgia" w:cs="Georgia" w:eastAsia="Georgia"/>
          <w:b w:val="0"/>
          <w:bCs w:val="0"/>
          <w:sz w:val="22"/>
          <w:szCs w:val="22"/>
          <w:rtl w:val="0"/>
        </w:rPr>
        <w:t>• Adverbial: generally, typically, possibly, probably (scope or certainty, not procedural routine).</w:t>
      </w:r>
      <w:r>
        <w:rPr>
          <w:rtl w:val="0"/>
          <w:sz w:val="22"/>
          <w:szCs w:val="22"/>
        </w:rPr>
      </w:r>
    </w:p>
    <w:p w:rsidR="00000000" w:rsidDel="00000000" w:rsidP="00000000" w:rsidRDefault="00000000" w:rsidRPr="00000000" w14:paraId="000001A8">
      <w:pPr>
        <w:spacing w:before="0" w:after="0" w:line="220" w:lineRule="auto"/>
        <w:ind w:left="240" w:firstLine="0"/>
        <w:jc w:val="both"/>
        <w:rPr/>
      </w:pPr>
      <w:r>
        <w:rPr>
          <w:rFonts w:ascii="Georgia" w:hAnsi="Georgia" w:cs="Georgia" w:eastAsia="Georgia"/>
          <w:b w:val="0"/>
          <w:bCs w:val="0"/>
          <w:sz w:val="24"/>
          <w:szCs w:val="24"/>
          <w:rtl w:val="0"/>
        </w:rPr>
        <w:t>• Clause-level: it seems that, it is possible that, to some extent.</w:t>
      </w:r>
      <w:r>
        <w:rPr>
          <w:rtl w:val="0"/>
          <w:sz w:val="24"/>
          <w:szCs w:val="24"/>
        </w:rPr>
      </w:r>
    </w:p>
    <w:p w:rsidR="00000000" w:rsidDel="00000000" w:rsidP="00000000" w:rsidRDefault="00000000" w:rsidRPr="00000000" w14:paraId="000001A9">
      <w:pPr>
        <w:spacing w:before="0" w:after="0" w:line="220" w:lineRule="auto"/>
        <w:jc w:val="left"/>
        <w:rPr/>
      </w:pPr>
      <w:r>
        <w:rPr>
          <w:rFonts w:ascii="Georgia" w:hAnsi="Georgia" w:cs="Georgia" w:eastAsia="Georgia"/>
          <w:b/>
          <w:bCs w:val="1"/>
          <w:sz w:val="20"/>
          <w:szCs w:val="20"/>
          <w:rtl w:val="0"/>
        </w:rPr>
        <w:t xml:space="preserve">Functions: EC = uncertainty about a claim’s truth. P = interpersonal softening/deference. DO = framing/reader guidance (pure framing logged only, not retained).</w:t>
      </w:r>
    </w:p>
    <w:p w:rsidR="00000000" w:rsidDel="00000000" w:rsidP="00000000" w:rsidRDefault="00000000" w:rsidRPr="00000000" w14:paraId="000001AD">
      <w:pPr>
        <w:spacing w:before="0" w:after="0" w:line="220" w:lineRule="auto"/>
        <w:jc w:val="left"/>
        <w:rPr/>
      </w:pPr>
      <w:r>
        <w:rPr>
          <w:rFonts w:ascii="Georgia" w:hAnsi="Georgia" w:cs="Georgia" w:eastAsia="Georgia"/>
          <w:b/>
          <w:bCs w:val="1"/>
          <w:sz w:val="20"/>
          <w:szCs w:val="20"/>
          <w:rtl w:val="0"/>
        </w:rPr>
        <w:t xml:space="preserve">Core rules: suggest/indicate finding→hedge, recommendation→FP-Rec; can/may possibility→hedge, capability→FP-Cap; generally/typically claim-limit→hedge, procedural→FP-Proc; appear/seem result-uncertainty→hedge, location→FP-Gen.</w:t>
      </w:r>
    </w:p>
    <w:p>
      <w:pPr>
        <w:spacing w:after="20" w:before="0" w:line="220" w:lineRule="auto"/>
      </w:pPr>
      <w:r>
        <w:rPr>
          <w:rFonts w:ascii="Georgia" w:hAnsi="Georgia" w:cs="Georgia" w:eastAsia="Georgia"/>
          <w:sz w:val="20"/>
          <w:szCs w:val="20"/>
        </w:rPr>
        <w:t xml:space="preserve">Steps 1–3: Step 1 wide-net candidates. Step 2 retain claim mitigation only (pure framing → DO log; FP = capability/recommendation/procedure/topic-naming). Step 3 label EC/P/DO. Working Test = EC only.</w:t>
      </w:r>
    </w:p>
    <w:p w:rsidR="00000000" w:rsidDel="00000000" w:rsidP="00000000" w:rsidRDefault="00000000" w:rsidRPr="00000000" w14:paraId="00000233">
      <w:pPr>
        <w:spacing w:before="0" w:after="40" w:line="220" w:lineRule="auto"/>
        <w:jc w:val="left"/>
        <w:rPr/>
      </w:pPr>
      <w:r>
        <w:rPr>
          <w:rFonts w:ascii="Georgia" w:hAnsi="Georgia" w:cs="Georgia" w:eastAsia="Georgia"/>
          <w:b/>
          <w:bCs w:val="1"/>
          <w:i w:val="0"/>
          <w:iCs w:val="0"/>
          <w:sz w:val="24"/>
          <w:szCs w:val="24"/>
          <w:rtl w:val="0"/>
        </w:rPr>
        <w:t>QUICK-REFERENCE LEGEND</w:t>
      </w:r>
      <w:r>
        <w:rPr>
          <w:rtl w:val="0"/>
          <w:sz w:val="24"/>
          <w:szCs w:val="24"/>
        </w:rPr>
      </w:r>
    </w:p>
    <w:p w:rsidR="00000000" w:rsidDel="00000000" w:rsidP="00000000" w:rsidRDefault="00000000" w:rsidRPr="00000000" w14:paraId="00000234">
      <w:pPr>
        <w:spacing w:before="0" w:after="0" w:line="220" w:lineRule="auto"/>
        <w:ind w:firstLine="720"/>
        <w:jc w:val="both"/>
        <w:rPr/>
      </w:pPr>
      <w:r>
        <w:rPr>
          <w:rFonts w:ascii="Georgia" w:hAnsi="Georgia" w:cs="Georgia" w:eastAsia="Georgia"/>
          <w:b w:val="0"/>
          <w:bCs w:val="0"/>
          <w:i w:val="0"/>
          <w:iCs w:val="0"/>
          <w:sz w:val="22"/>
          <w:szCs w:val="22"/>
          <w:rtl w:val="0"/>
        </w:rPr>
        <w:t>• Highlights = type background on the token. Colored text labels = function. Grey = unhedged verb. Strike + grey code = FP.</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tblHeader/>
        </w:trPr>
        <w:tc>
          <w:tcPr>
            <w:tcBorders>
              <w:bottom w:color="000000" w:space="0" w:sz="4" w:val="single"/>
            </w:tcBorders>
            <w:shd w:fill="f2f4f6" w:val="clear"/>
          </w:tcPr>
          <w:p w:rsidR="00000000" w:rsidDel="00000000" w:rsidP="00000000" w:rsidRDefault="00000000" w:rsidRPr="00000000" w14:paraId="00000235">
            <w:pPr>
              <w:spacing w:before="0" w:after="0" w:line="220"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20"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trPr>
        <w:tc>
          <w:tcPr/>
          <w:p w:rsidR="00000000" w:rsidDel="00000000" w:rsidP="00000000" w:rsidRDefault="00000000" w:rsidRPr="00000000" w14:paraId="00000237">
            <w:pPr>
              <w:spacing w:before="0" w:after="0" w:line="220"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20"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20"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20"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20"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20"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20" w:lineRule="auto"/>
              <w:jc w:val="both"/>
              <w:rPr/>
            </w:pPr>
            <w:r>
              <w:rPr>
                <w:rFonts w:ascii="Georgia" w:cs="Georgia" w:eastAsia="Georgia" w:hAnsi="Georgia"/>
                <w:b w:val="1"/>
                <w:bCs w:val="1"/>
                <w:i w:val="0"/>
                <w:iCs w:val="0"/>
                <w:color w:val="8B4513"/>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trPr>
        <w:tc>
          <w:tcPr/>
          <w:p w:rsidR="00000000" w:rsidDel="00000000" w:rsidP="00000000" w:rsidRDefault="00000000" w:rsidRPr="00000000" w14:paraId="0000023E">
            <w:pPr>
              <w:spacing w:before="0" w:after="0" w:line="220" w:lineRule="auto"/>
              <w:jc w:val="left"/>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20"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20" w:lineRule="auto"/>
              <w:jc w:val="left"/>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20"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spacing w:before="0" w:after="0" w:line="220" w:lineRule="auto"/>
        <w:jc w:val="left"/>
        <w:rPr/>
        <w:keepLines/>
      </w:pPr>
      <w:r>
        <w:rPr>
          <w:rFonts w:ascii="Georgia" w:hAnsi="Georgia" w:cs="Georgia" w:eastAsia="Georgia"/>
          <w:b/>
          <w:bCs w:val="1"/>
          <w:i w:val="0"/>
          <w:iCs w:val="0"/>
          <w:sz w:val="24"/>
          <w:szCs w:val="24"/>
          <w:rtl w:val="0"/>
        </w:rPr>
        <w:t>COMBINED EXAMPLE</w:t>
      </w:r>
      <w:r>
        <w:rPr>
          <w:rtl w:val="0"/>
          <w:sz w:val="24"/>
          <w:szCs w:val="24"/>
        </w:rPr>
      </w:r>
    </w:p>
    <w:p w:rsidR="00000000" w:rsidDel="00000000" w:rsidP="00000000" w:rsidRDefault="00000000" w:rsidRPr="00000000" w14:paraId="00000244">
      <w:pPr>
        <w:spacing w:before="0" w:after="0" w:line="220" w:lineRule="auto"/>
        <w:ind w:firstLine="720"/>
        <w:jc w:val="both"/>
        <w:rPr/>
        <w:keepLines/>
      </w:pPr>
      <w:r>
        <w:rPr>
          <w:rFonts w:ascii="Georgia" w:hAnsi="Georgia" w:cs="Georgia" w:eastAsia="Georgia"/>
          <w:b w:val="0"/>
          <w:bCs w:val="0"/>
          <w:i w:val="1"/>
          <w:iCs w:val="1"/>
          <w:color w:val="000000"/>
          <w:sz w:val="22"/>
          <w:szCs w:val="22"/>
          <w:rtl w:val="0"/>
        </w:rPr>
        <w:t xml:space="preserve">“The results suggested (EC) that extracts are potential (EC) alternative stains. PCR can (FP-Cap) also detect low concentrations.” Type color = type; (EC) orange; FP struck.</w:t>
      </w:r>
    </w:p>
    <w:p w:rsidR="00000000" w:rsidDel="00000000" w:rsidP="00000000" w:rsidRDefault="00000000" w:rsidRPr="00000000" w14:paraId="00000245">
      <w:pPr>
        <w:spacing w:before="0" w:after="0" w:line="220" w:lineRule="auto"/>
        <w:ind w:firstLine="720"/>
        <w:jc w:val="both"/>
        <w:rPr/>
      </w:pPr>
      <w:r>
        <w:rPr>
          <w:rFonts w:ascii="Georgia" w:hAnsi="Georgia" w:cs="Georgia" w:eastAsia="Georgia"/>
          <w:b w:val="0"/>
          <w:i w:val="1"/>
          <w:iCs w:val="1"/>
          <w:color w:val="404040"/>
          <w:sz w:val="24"/>
          <w:rtl w:val="0"/>
          <w:szCs w:val="24"/>
        </w:rPr>
        <w:t>• Full rules in Full Codebook (from next page).</w:t>
      </w:r>
      <w:r>
        <w:rPr>
          <w:rFonts w:ascii="Georgia" w:cs="Georgia" w:eastAsia="Georgia" w:hAnsi="Georgia"/>
          <w:b w:val="0"/>
          <w:bCs w:val="0"/>
          <w:i w:val="1"/>
          <w:iCs w:val="1"/>
          <w:color w:val="404040"/>
          <w:sz w:val="24"/>
          <w:szCs w:val="24"/>
          <w:rtl w:val="0"/>
        </w:rPr>
      </w:r>
      <w:r>
        <w:rPr>
          <w:rtl w:val="0"/>
          <w:sz w:val="24"/>
          <w:szCs w:val="24"/>
        </w:rPr>
      </w:r>
    </w:p>
    <w:p w:rsidR="00000000" w:rsidDel="00000000" w:rsidP="00000000" w:rsidRDefault="00000000" w:rsidRPr="00000000" w14:paraId="000001B4">
      <w:pPr>
        <w:spacing w:before="0" w:after="60" w:line="276" w:lineRule="auto"/>
        <w:jc w:val="left"/>
        <w:rPr/>
      </w:pPr>
      <w:r>
        <w:rPr>
          <w:sz w:val="24"/>
          <w:szCs w:val="24"/>
        </w:rPr>
        <w:br w:type="page"/>
      </w:r>
      <w:r>
        <w:rPr>
          <w:rFonts w:ascii="Georgia" w:hAnsi="Georgia" w:cs="Georgia" w:eastAsia="Georgia"/>
          <w:b/>
          <w:bCs w:val="1"/>
          <w:sz w:val="24"/>
          <w:szCs w:val="24"/>
          <w:rtl w:val="0"/>
        </w:rPr>
        <w:t>FULL CODEBOOK</w:t>
      </w:r>
      <w:r>
        <w:rPr>
          <w:rtl w:val="0"/>
          <w:sz w:val="24"/>
          <w:szCs w:val="24"/>
        </w:rPr>
      </w:r>
    </w:p>
    <w:p w:rsidR="00000000" w:rsidDel="00000000" w:rsidP="00000000" w:rsidRDefault="00000000" w:rsidRPr="00000000" w14:paraId="000001B5">
      <w:pPr>
        <w:spacing w:before="120" w:after="60" w:line="360" w:lineRule="auto"/>
        <w:jc w:val="left"/>
        <w:rPr/>
      </w:pPr>
      <w:r>
        <w:rPr>
          <w:rFonts w:ascii="Georgia" w:hAnsi="Georgia" w:cs="Georgia" w:eastAsia="Georgia"/>
          <w:b/>
          <w:bCs w:val="1"/>
          <w:i w:val="0"/>
          <w:iCs w:val="0"/>
          <w:sz w:val="24"/>
          <w:szCs w:val="24"/>
          <w:rtl w:val="0"/>
        </w:rPr>
        <w:t>PURPOSE</w:t>
      </w:r>
      <w:r>
        <w:rPr>
          <w:rtl w:val="0"/>
          <w:sz w:val="24"/>
          <w:szCs w:val="24"/>
        </w:rPr>
      </w:r>
    </w:p>
    <w:p w:rsidR="00000000" w:rsidDel="00000000" w:rsidP="00000000" w:rsidRDefault="00000000" w:rsidRPr="00000000" w14:paraId="000001B6">
      <w:pPr>
        <w:spacing w:before="0" w:after="0" w:line="360" w:lineRule="auto"/>
        <w:ind w:left="360" w:hanging="360"/>
        <w:jc w:val="both"/>
        <w:rPr/>
      </w:pPr>
      <w:r>
        <w:rPr>
          <w:rFonts w:ascii="Georgia" w:hAnsi="Georgia" w:cs="Georgia" w:eastAsia="Georgia"/>
          <w:b w:val="0"/>
          <w:bCs w:val="0"/>
          <w:sz w:val="22"/>
          <w:szCs w:val="22"/>
          <w:rtl w:val="0"/>
        </w:rPr>
        <w:t>• Coding scheme for the PSAU undergraduate thesis abstract corpus, adapted from Hyland (1998) as type instrument.</w:t>
      </w:r>
      <w:r>
        <w:rPr>
          <w:rtl w:val="0"/>
        </w:rPr>
      </w:r>
    </w:p>
    <w:p w:rsidR="00000000" w:rsidDel="00000000" w:rsidP="00000000" w:rsidRDefault="00000000" w:rsidRPr="00000000" w14:paraId="000001B8">
      <w:pPr>
        <w:spacing w:before="120" w:after="60" w:line="360" w:lineRule="auto"/>
        <w:jc w:val="left"/>
        <w:rPr/>
      </w:pPr>
      <w:r>
        <w:rPr>
          <w:rFonts w:ascii="Georgia" w:hAnsi="Georgia" w:cs="Georgia" w:eastAsia="Georgia"/>
          <w:i w:val="0"/>
          <w:iCs w:val="0"/>
          <w:sz w:val="24"/>
          <w:szCs w:val="24"/>
          <w:rtl w:val="0"/>
          <w:b/>
          <w:bCs w:val="0"/>
        </w:rPr>
        <w:t>STEP 1, STEP 2, STEP 3, AND WORKING TEST</w:t>
      </w:r>
      <w:r>
        <w:rPr>
          <w:rtl w:val="0"/>
          <w:sz w:val="24"/>
          <w:szCs w:val="24"/>
        </w:rPr>
      </w:r>
    </w:p>
    <w:p w:rsidR="00000000" w:rsidDel="00000000" w:rsidP="00000000" w:rsidRDefault="00000000" w:rsidRPr="00000000" w14:paraId="000001B9">
      <w:pPr>
        <w:spacing w:before="0" w:after="0" w:line="360" w:lineRule="auto"/>
        <w:ind w:left="360" w:hanging="360"/>
        <w:jc w:val="both"/>
        <w:rPr/>
      </w:pPr>
      <w:r>
        <w:rPr>
          <w:rFonts w:ascii="Georgia" w:hAnsi="Georgia" w:cs="Georgia" w:eastAsia="Georgia"/>
          <w:i w:val="0"/>
          <w:iCs w:val="0"/>
          <w:color w:val="000000"/>
          <w:sz w:val="22"/>
          <w:szCs w:val="22"/>
          <w:rtl w:val="0"/>
          <w:b w:val="0"/>
          <w:bCs w:val="0"/>
        </w:rPr>
        <w:t>• Step 1 (candidate tagging, wide net). After the holistic read, mark hedge-like forms, findings framing or sequencing, and forms that may later be false positives. This step does not count retained hedges.</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i w:val="0"/>
          <w:iCs w:val="0"/>
          <w:sz w:val="22"/>
          <w:szCs w:val="22"/>
          <w:rtl w:val="0"/>
          <w:b w:val="0"/>
          <w:bCs w:val="0"/>
        </w:rPr>
        <w:t>• Step 2 (retained hedge). Keep as a retained hedge only if removing the expression makes a knowledge claim more categorical or more direct, or softens how that claim is put forward.</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hAnsi="Georgia" w:cs="Georgia" w:eastAsia="Georgia"/>
          <w:i w:val="0"/>
          <w:iCs w:val="0"/>
          <w:sz w:val="22"/>
          <w:szCs w:val="22"/>
          <w:rtl w:val="0"/>
          <w:b w:val="0"/>
          <w:bCs w:val="0"/>
        </w:rPr>
        <w:t>• Step 2 (pure DO log / FP). Pure findings framing or sequencing with no commitment change and no interpersonal softening is logged as discourse organization only (not a retained hedge). Capability, recommendation, pure procedure, topic-naming, and non-claim sequencing are false positives.</w:t>
      </w:r>
      <w:r>
        <w:rPr>
          <w:rtl w:val="0"/>
        </w:rPr>
      </w:r>
    </w:p>
    <w:p w:rsidR="00000000" w:rsidDel="00000000" w:rsidP="00000000" w:rsidRDefault="00000000" w:rsidRPr="00000000" w14:paraId="000001BB">
      <w:pPr>
        <w:spacing w:before="0" w:after="0" w:line="360" w:lineRule="auto"/>
        <w:ind w:left="360" w:hanging="360"/>
        <w:jc w:val="both"/>
        <w:rPr/>
      </w:pPr>
      <w:r>
        <w:rPr>
          <w:rFonts w:ascii="Georgia" w:hAnsi="Georgia" w:cs="Georgia" w:eastAsia="Georgia"/>
          <w:i w:val="0"/>
          <w:iCs w:val="0"/>
          <w:color w:val="000000"/>
          <w:sz w:val="22"/>
          <w:szCs w:val="22"/>
          <w:rtl w:val="0"/>
          <w:b w:val="0"/>
          <w:bCs w:val="0"/>
        </w:rPr>
        <w:t>• Step 3 (function). Label retained hedges only: EC, P, and/or DO. Co-occurrence allowed. Pure DO does not reach Step 3 as a retained hedge.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hAnsi="Georgia" w:cs="Georgia" w:eastAsia="Georgia"/>
          <w:i w:val="0"/>
          <w:iCs w:val="0"/>
          <w:sz w:val="22"/>
          <w:szCs w:val="22"/>
          <w:rtl w:val="0"/>
          <w:b w:val="0"/>
          <w:bCs w:val="0"/>
        </w:rPr>
        <w:t>• Working Test and order. Working Test supports EC only (commitment change). Deontic advice is never retained (FP-Rec). Coding order: full abstract → Step 1 → Step 2 → Decision Rules → Step 3 on retained hedges → Working Test for EC → Coder Notes.</w:t>
      </w:r>
      <w:r>
        <w:rPr>
          <w:rtl w:val="0"/>
        </w:rPr>
      </w:r>
    </w:p>
    <w:p w:rsidR="00000000" w:rsidDel="00000000" w:rsidP="00000000" w:rsidRDefault="00000000" w:rsidRPr="00000000" w14:paraId="00000083">
      <w:pPr>
        <w:spacing w:before="120" w:after="60" w:line="360" w:lineRule="auto"/>
        <w:jc w:val="left"/>
        <w:rPr/>
      </w:pPr>
      <w:r>
        <w:rPr>
          <w:rFonts w:ascii="Georgia" w:hAnsi="Georgia" w:cs="Georgia" w:eastAsia="Georgia"/>
          <w:i w:val="0"/>
          <w:iCs w:val="0"/>
          <w:sz w:val="24"/>
          <w:szCs w:val="24"/>
          <w:rtl w:val="0"/>
          <w:b/>
          <w:bCs w:val="0"/>
        </w:rPr>
        <w:t>WORKING EXAMPLES: STEP 2 SORT AND STEP 3 FUNCTION (EC, P, DO)</w:t>
      </w:r>
      <w:r>
        <w:rPr>
          <w:rtl w:val="0"/>
          <w:b w:val="1"/>
          <w:sz w:val="24"/>
          <w:szCs w:val="24"/>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i w:val="0"/>
          <w:iCs w:val="0"/>
          <w:sz w:val="22"/>
          <w:szCs w:val="22"/>
          <w:rtl w:val="0"/>
          <w:b w:val="0"/>
          <w:bCs w:val="0"/>
        </w:rPr>
        <w:t>• Function labels apply to retained hedges after Step 2. Step 2 = claim mitigation for findings,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Step 2 may retain if interpersonal softening of a claim is present. EC Working Test fails if certainty is unchanged → function P.</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 EC: Step 2 retains as a hedge and Working Test also passes → dominant function from context (or dual note in Coder Notes).</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i w:val="0"/>
          <w:iCs w:val="0"/>
          <w:sz w:val="22"/>
          <w:szCs w:val="22"/>
          <w:rtl w:val="0"/>
          <w:b w:val="0"/>
          <w:bCs w:val="0"/>
        </w:rPr>
        <w:t>• Pure DO: “In conclusion, T3 produced the highest yield.” Candidate may be tagged. Step 2 = pure DO log (findings framing only). Not a retained hedge. Appendix C may still show (DO) for visibility.</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i w:val="0"/>
          <w:iCs w:val="0"/>
          <w:sz w:val="22"/>
          <w:szCs w:val="22"/>
          <w:rtl w:val="0"/>
          <w:b w:val="0"/>
          <w:bCs w:val="0"/>
        </w:rPr>
        <w:t>• DO frame + separate hedge: “It should be noted that the results may indicate growth.” Code may as retained hedge (EC). The frame alone is not a second hedge count.</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i w:val="0"/>
          <w:iCs w:val="0"/>
          <w:sz w:val="22"/>
          <w:szCs w:val="22"/>
          <w:rtl w:val="0"/>
          <w:b w:val="0"/>
          <w:bCs w:val="0"/>
        </w:rPr>
        <w:t>• Summary: Step 1 is wide. Only claim mitigation enters the retained hedge set. Pure findings framing is logged as DO and fails as a hedge. Step 3 labels retained hedges EC / P / DO. Working Test supports EC only. In this corpus all 65 retained tokens were EC. No P forms appeared in the retained set. Pure DO was logged outside that set.</w:t>
      </w:r>
      <w:r>
        <w:rPr>
          <w:rtl w:val="0"/>
        </w:rPr>
      </w:r>
    </w:p>
    <w:p w:rsidR="00000000" w:rsidDel="00000000" w:rsidP="00000000" w:rsidRDefault="00000000" w:rsidRPr="00000000" w14:paraId="000001BE">
      <w:pPr>
        <w:spacing w:before="60" w:after="20" w:line="360" w:lineRule="auto"/>
        <w:jc w:val="left"/>
        <w:rPr/>
      </w:pPr>
      <w:r>
        <w:rPr>
          <w:rFonts w:ascii="Georgia" w:hAnsi="Georgia" w:cs="Georgia" w:eastAsia="Georgia"/>
          <w:b/>
          <w:bCs w:val="1"/>
          <w:i w:val="0"/>
          <w:iCs w:val="0"/>
          <w:sz w:val="24"/>
          <w:szCs w:val="24"/>
          <w:rtl w:val="0"/>
        </w:rPr>
        <w:t>HEDGE TYPE (PRIMARY COLORS)</w:t>
      </w:r>
      <w:r>
        <w:rPr>
          <w:rtl w:val="0"/>
          <w:sz w:val="24"/>
          <w:szCs w:val="24"/>
        </w:rPr>
      </w:r>
    </w:p>
    <w:p w:rsidR="00000000" w:rsidDel="00000000" w:rsidP="00000000" w:rsidRDefault="00000000" w:rsidRPr="00000000" w14:paraId="000001BF">
      <w:pPr>
        <w:spacing w:before="80" w:after="40" w:line="360" w:lineRule="auto"/>
        <w:ind w:firstLine="720"/>
        <w:jc w:val="both"/>
        <w:rPr/>
      </w:pPr>
      <w:r>
        <w:rPr>
          <w:rFonts w:ascii="Georgia" w:cs="Georgia" w:eastAsia="Georgia" w:hAnsi="Georgia"/>
          <w:b w:val="0"/>
          <w:bCs w:val="0"/>
          <w:i w:val="0"/>
          <w:iCs w:val="0"/>
          <w:sz w:val="24"/>
          <w:szCs w:val="24"/>
          <w:rtl w:val="0"/>
        </w:rPr>
        <w:t xml:space="preserve">Highlight each hedge token in the color matching its grammatical form.</w:t>
      </w:r>
      <w:r>
        <w:rPr>
          <w:rtl w:val="0"/>
          <w:sz w:val="24"/>
          <w:szCs w:val="24"/>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spacing w:before="60" w:after="60" w:line="360" w:lineRule="auto"/>
        <w:ind/>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sz w:val="24"/>
          <w:szCs w:val="24"/>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8B4513"/>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sz w:val="20"/>
                <w:szCs w:val="20"/>
                <w:rtl w:val="0"/>
                <w:color w:val="8B4513"/>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sz w:val="24"/>
          <w:szCs w:val="24"/>
        </w:rPr>
      </w:r>
    </w:p>
    <w:p w:rsidR="00000000" w:rsidDel="00000000" w:rsidP="00000000" w:rsidRDefault="00000000" w:rsidRPr="00000000" w14:paraId="000001EB">
      <w:pPr>
        <w:spacing w:before="0" w:after="0" w:line="360" w:lineRule="auto"/>
        <w:ind w:firstLine="720"/>
        <w:jc w:val="both"/>
        <w:rPr/>
      </w:pPr>
      <w:r>
        <w:rPr>
          <w:rFonts w:ascii="Georgia" w:cs="Georgia" w:eastAsia="Georgia" w:hAnsi="Georgia"/>
          <w:b w:val="0"/>
          <w:bCs w:val="0"/>
          <w:i w:val="0"/>
          <w:iCs w:val="0"/>
          <w:sz w:val="24"/>
          <w:szCs w:val="24"/>
          <w:rtl w:val="0"/>
        </w:rPr>
        <w:t xml:space="preserve">Apply before defaulting to the Working Test.</w:t>
      </w:r>
      <w:r>
        <w:rPr>
          <w:rtl w:val="0"/>
          <w:sz w:val="24"/>
          <w:szCs w:val="24"/>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spacing w:before="120" w:after="60" w:line="360" w:lineRule="auto"/>
        <w:jc w:val="left"/>
        <w:rPr/>
      </w:pPr>
      <w:r>
        <w:rPr>
          <w:sz w:val="24"/>
          <w:szCs w:val="24"/>
        </w:rPr>
        <w:br w:type="page"/>
      </w:r>
      <w:r>
        <w:rPr>
          <w:rFonts w:ascii="Georgia" w:cs="Georgia" w:eastAsia="Georgia" w:hAnsi="Georgia"/>
          <w:b w:val="1"/>
          <w:bCs w:val="1"/>
          <w:i w:val="0"/>
          <w:iCs w:val="0"/>
          <w:sz w:val="24"/>
          <w:szCs w:val="24"/>
          <w:rtl w:val="0"/>
        </w:rPr>
        <w:t xml:space="preserve">MARKING FALSE POSITIVES</w:t>
      </w:r>
      <w:r>
        <w:rPr>
          <w:rtl w:val="0"/>
          <w:sz w:val="24"/>
          <w:szCs w:val="24"/>
        </w:rPr>
      </w:r>
    </w:p>
    <w:p w:rsidR="00000000" w:rsidDel="00000000" w:rsidP="00000000" w:rsidRDefault="00000000" w:rsidRPr="00000000" w14:paraId="0000020C">
      <w:pPr>
        <w:spacing w:before="0" w:after="0" w:line="360" w:lineRule="auto"/>
        <w:ind w:firstLine="720"/>
        <w:jc w:val="both"/>
        <w:rPr/>
      </w:pPr>
      <w:r>
        <w:rPr>
          <w:rFonts w:ascii="Georgia" w:hAnsi="Georgia" w:cs="Georgia" w:eastAsia="Georgia"/>
          <w:i w:val="0"/>
          <w:iCs w:val="0"/>
          <w:sz w:val="22"/>
          <w:szCs w:val="22"/>
          <w:rtl w:val="0"/>
          <w:b w:val="0"/>
          <w:bCs w:val="0"/>
        </w:rPr>
        <w:t>Strike through a hedge-like token that fails Step 2 as a retained hedge. Write the reason code beside it in grey text (FP-Cap, FP-Rec, FP-Proc, FP-Gen, or related codes). Pure DO logs are not false positives of that kind. They are non-hedge organization marks outside the retained count.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
        <w:br w:type="page"/>
      </w:r>
    </w:p>
    <w:p w:rsidR="00000000" w:rsidDel="00000000" w:rsidP="00000000" w:rsidRDefault="00000000" w:rsidRPr="00000000" w14:paraId="00000220">
      <w:pPr>
        <w:spacing w:before="120" w:after="60" w:line="360" w:lineRule="auto"/>
        <w:jc w:val="left"/>
        <w:rPr/>
      </w:pPr>
      <w:r>
        <w:rPr>
          <w:rFonts w:ascii="Georgia" w:hAnsi="Georgia" w:cs="Georgia" w:eastAsia="Georgia"/>
          <w:b/>
          <w:bCs w:val="1"/>
          <w:i w:val="0"/>
          <w:iCs w:val="0"/>
          <w:sz w:val="24"/>
          <w:szCs w:val="24"/>
          <w:rtl w:val="0"/>
        </w:rPr>
        <w:t>UNHEDGED ASSERTIONS (WARRANTED CAUTION, NEUTRAL GREY)</w:t>
      </w:r>
      <w:r>
        <w:rPr>
          <w:rtl w:val="0"/>
          <w:sz w:val="24"/>
          <w:szCs w:val="24"/>
        </w:rPr>
      </w:r>
    </w:p>
    <w:p w:rsidR="00000000" w:rsidDel="00000000" w:rsidP="00000000" w:rsidRDefault="00000000" w:rsidRPr="00000000" w14:paraId="00000221">
      <w:pPr>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Grey-highlight the main assertive verb; place [G] or [C] beside it (same placement as (EC) on hedges).</w:t>
      </w:r>
    </w:p>
    <w:p w:rsidR="00000000" w:rsidDel="00000000" w:rsidP="00000000" w:rsidRDefault="00000000" w:rsidRPr="00000000" w14:paraId="00000221">
      <w:pPr>
        <w:spacing w:before="0" w:after="0" w:line="360" w:lineRule="auto"/>
        <w:ind w:left="360" w:hanging="360"/>
        <w:jc w:val="both"/>
        <w:rPr/>
      </w:pPr>
      <w:r>
        <w:rPr>
          <w:rFonts w:ascii="Georgia" w:hAnsi="Georgia" w:cs="Georgia" w:eastAsia="Georgia"/>
          <w:b w:val="0"/>
          <w:bCs w:val="0"/>
          <w:i w:val="0"/>
          <w:iCs w:val="0"/>
          <w:color w:val="000000"/>
          <w:sz w:val="24"/>
          <w:szCs w:val="24"/>
          <w:rtl w:val="0"/>
        </w:rPr>
        <w:t xml:space="preserve">• Mark only claims where caution was warranted but absent.</w:t>
      </w:r>
    </w:p>
    <w:p w:rsidR="00000000" w:rsidDel="00000000" w:rsidP="00000000" w:rsidRDefault="00000000" w:rsidRPr="00000000" w14:paraId="00000221">
      <w:pPr>
        <w:spacing w:before="0" w:after="0" w:line="360" w:lineRule="auto"/>
        <w:ind w:left="360" w:hanging="360"/>
        <w:jc w:val="both"/>
        <w:rPr/>
      </w:pPr>
      <w:r>
        <w:rPr>
          <w:rFonts w:ascii="Georgia" w:hAnsi="Georgia" w:cs="Georgia" w:eastAsia="Georgia"/>
          <w:b w:val="0"/>
          <w:bCs w:val="0"/>
          <w:i w:val="0"/>
          <w:iCs w:val="0"/>
          <w:color w:val="000000"/>
          <w:sz w:val="24"/>
          <w:szCs w:val="24"/>
          <w:rtl w:val="0"/>
        </w:rPr>
        <w:t xml:space="preserve">• [G] = generalization or evaluative ranking beyond the data.</w:t>
      </w:r>
    </w:p>
    <w:p w:rsidR="00000000" w:rsidDel="00000000" w:rsidP="00000000" w:rsidRDefault="00000000" w:rsidRPr="00000000" w14:paraId="00000221">
      <w:pPr>
        <w:spacing w:before="0" w:after="0" w:line="360" w:lineRule="auto"/>
        <w:ind w:left="360" w:hanging="360"/>
        <w:jc w:val="both"/>
        <w:rPr/>
      </w:pPr>
      <w:r>
        <w:rPr>
          <w:rFonts w:ascii="Georgia" w:hAnsi="Georgia" w:cs="Georgia" w:eastAsia="Georgia"/>
          <w:b w:val="0"/>
          <w:bCs w:val="0"/>
          <w:i w:val="0"/>
          <w:iCs w:val="0"/>
          <w:color w:val="000000"/>
          <w:sz w:val="24"/>
          <w:szCs w:val="24"/>
          <w:rtl w:val="0"/>
        </w:rPr>
        <w:t xml:space="preserve">• [C] = cause–effect or impact stronger than the design supports.</w:t>
      </w:r>
    </w:p>
    <w:p w:rsidR="00000000" w:rsidDel="00000000" w:rsidP="00000000" w:rsidRDefault="00000000" w:rsidRPr="00000000" w14:paraId="00000221">
      <w:pPr>
        <w:spacing w:before="0" w:after="0" w:line="360" w:lineRule="auto"/>
        <w:ind w:left="360" w:hanging="360"/>
        <w:jc w:val="both"/>
        <w:rPr/>
      </w:pPr>
      <w:r>
        <w:rPr>
          <w:rFonts w:ascii="Georgia" w:hAnsi="Georgia" w:cs="Georgia" w:eastAsia="Georgia"/>
          <w:b w:val="0"/>
          <w:bCs w:val="0"/>
          <w:i w:val="0"/>
          <w:iCs w:val="0"/>
          <w:color w:val="000000"/>
          <w:sz w:val="24"/>
          <w:szCs w:val="24"/>
          <w:rtl w:val="0"/>
        </w:rPr>
        <w:t xml:space="preserve">• Do not mark bare trial results, measured findings, or procedural statements.</w:t>
      </w:r>
    </w:p>
    <w:p w:rsidR="00000000" w:rsidDel="00000000" w:rsidP="00000000" w:rsidRDefault="00000000" w:rsidRPr="00000000" w14:paraId="00000221">
      <w:pPr>
        <w:spacing w:before="0" w:after="0" w:line="360" w:lineRule="auto"/>
        <w:ind w:left="360" w:hanging="360"/>
        <w:jc w:val="both"/>
        <w:rPr/>
      </w:pPr>
      <w:r>
        <w:rPr>
          <w:rFonts w:ascii="Georgia" w:hAnsi="Georgia" w:cs="Georgia" w:eastAsia="Georgia"/>
          <w:b w:val="0"/>
          <w:bCs w:val="0"/>
          <w:i w:val="0"/>
          <w:iCs w:val="0"/>
          <w:color w:val="000000"/>
          <w:sz w:val="24"/>
          <w:szCs w:val="24"/>
          <w:rtl w:val="0"/>
        </w:rPr>
        <w:t xml:space="preserve">• Record the full clause in the coding sheet.</w:t>
      </w:r>
    </w:p>
    <w:p w:rsidR="00000000" w:rsidDel="00000000" w:rsidP="00000000" w:rsidRDefault="00000000" w:rsidRPr="00000000" w14:paraId="0000026D">
      <w:pPr>
        <w:spacing w:before="0" w:after="0" w:line="240" w:lineRule="auto"/>
        <w:ind w:firstLine="720"/>
        <w:jc w:val="both"/>
        <w:rPr/>
      </w:pPr>
      <w:r>
        <w:rPr>
          <w:rFonts w:ascii="Georgia" w:hAnsi="Georgia" w:cs="Georgia" w:eastAsia="Georgia"/>
          <w:b w:val="0"/>
          <w:bCs w:val="0"/>
          <w:i w:val="0"/>
          <w:iCs w:val="0"/>
          <w:sz w:val="22"/>
          <w:szCs w:val="22"/>
          <w:rtl w:val="0"/>
        </w:rPr>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tblHeader/>
          <w:cantSplit/>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 — Not markable (bare results).</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Not markable.</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hAnsi="Georgia" w:cs="Georgia" w:eastAsia="Georgia"/>
                <w:sz w:val="20"/>
                <w:szCs w:val="20"/>
              </w:rPr>
              <w:t xml:space="preserve">“</w:t>
            </w:r>
            <w:r>
              <w:rPr>
                <w:rFonts w:ascii="Georgia" w:hAnsi="Georgia" w:cs="Georgia" w:eastAsia="Georgia"/>
                <w:sz w:val="20"/>
                <w:szCs w:val="20"/>
                <w:shd w:val="clear" w:color="auto" w:fill="bfbfbf"/>
              </w:rPr>
              <w:t xml:space="preserve">was</w:t>
            </w:r>
            <w:r>
              <w:rPr>
                <w:rFonts w:ascii="Georgia" w:hAnsi="Georgia" w:cs="Georgia" w:eastAsia="Georgia"/>
                <w:sz w:val="20"/>
                <w:szCs w:val="20"/>
              </w:rPr>
              <w:t xml:space="preserve"> [G] the most compelling…” (mark) vs “Yield higher (p &lt; .05)” (omit).</w:t>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Inference or ranking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hAnsi="Georgia" w:cs="Georgia" w:eastAsia="Georgia"/>
                <w:sz w:val="20"/>
                <w:szCs w:val="20"/>
              </w:rPr>
              <w:t xml:space="preserve">“This </w:t>
            </w:r>
            <w:r>
              <w:rPr>
                <w:rFonts w:ascii="Georgia" w:hAnsi="Georgia" w:cs="Georgia" w:eastAsia="Georgia"/>
                <w:sz w:val="20"/>
                <w:szCs w:val="20"/>
                <w:shd w:val="clear" w:color="auto" w:fill="bfbfbf"/>
              </w:rPr>
              <w:t xml:space="preserve">led</w:t>
            </w:r>
            <w:r>
              <w:rPr>
                <w:rFonts w:ascii="Georgia" w:hAnsi="Georgia" w:cs="Georgia" w:eastAsia="Georgia"/>
                <w:sz w:val="20"/>
                <w:szCs w:val="20"/>
              </w:rPr>
              <w:t xml:space="preserve"> [G] to the conclusion that all farms were free of it.”</w:t>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Cause–effect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hAnsi="Georgia" w:cs="Georgia" w:eastAsia="Georgia"/>
                <w:sz w:val="20"/>
                <w:szCs w:val="20"/>
              </w:rPr>
              <w:t xml:space="preserve">“Extracts </w:t>
            </w:r>
            <w:r>
              <w:rPr>
                <w:rFonts w:ascii="Georgia" w:hAnsi="Georgia" w:cs="Georgia" w:eastAsia="Georgia"/>
                <w:sz w:val="20"/>
                <w:szCs w:val="20"/>
                <w:shd w:val="clear" w:color="auto" w:fill="bfbfbf"/>
              </w:rPr>
              <w:t xml:space="preserve">produce</w:t>
            </w:r>
            <w:r>
              <w:rPr>
                <w:rFonts w:ascii="Georgia" w:hAnsi="Georgia" w:cs="Georgia" w:eastAsia="Georgia"/>
                <w:sz w:val="20"/>
                <w:szCs w:val="20"/>
              </w:rPr>
              <w:t xml:space="preserve"> [C] comparable staining because they contain similar compounds.”</w:t>
            </w:r>
          </w:p>
        </w:tc>
      </w:tr>
    </w:tbl>
    <w:p w:rsidR="00000000" w:rsidDel="00000000" w:rsidP="00000000" w:rsidRDefault="00000000" w:rsidRPr="00000000" w14:paraId="00000247">
      <w:pPr>
        <w:spacing w:before="40" w:after="20" w:line="276" w:lineRule="auto"/>
        <w:jc w:val="left"/>
        <w:rPr/>
      </w:pPr>
      <w:r>
        <w:rPr>
          <w:rFonts w:ascii="Georgia" w:hAnsi="Georgia" w:cs="Georgia" w:eastAsia="Georgia"/>
          <w:b/>
          <w:bCs w:val="1"/>
          <w:i w:val="0"/>
          <w:iCs w:val="0"/>
          <w:sz w:val="24"/>
          <w:szCs w:val="24"/>
          <w:rtl w:val="0"/>
        </w:rPr>
        <w:t>CODING SHEET COLUMNS</w:t>
      </w:r>
      <w:r>
        <w:rPr>
          <w:rtl w:val="0"/>
          <w:sz w:val="24"/>
          <w:szCs w:val="24"/>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48">
      <w:pPr>
        <w:spacing w:before="20" w:after="20" w:line="276" w:lineRule="auto"/>
        <w:ind w:firstLine="720"/>
        <w:jc w:val="both"/>
        <w:rPr/>
      </w:pPr>
      <w:r>
        <w:rPr>
          <w:rFonts w:ascii="Georgia" w:hAnsi="Georgia" w:cs="Georgia" w:eastAsia="Georgia"/>
          <w:b w:val="0"/>
          <w:bCs w:val="0"/>
          <w:i w:val="0"/>
          <w:iCs w:val="0"/>
          <w:sz w:val="24"/>
          <w:szCs w:val="24"/>
          <w:rtl w:val="0"/>
        </w:rPr>
        <w:t>• Highlighted abstract = primary record. Spreadsheet = tallying and analysis only.</w:t>
      </w:r>
      <w:r>
        <w:rPr>
          <w:rtl w:val="0"/>
          <w:sz w:val="24"/>
          <w:szCs w:val="24"/>
        </w:rPr>
      </w:r>
    </w:p>
    <w:p w:rsidR="00000000" w:rsidDel="00000000" w:rsidP="00000000" w:rsidRDefault="00000000" w:rsidRPr="00000000" w14:paraId="0000025A">
      <w:pPr>
        <w:spacing w:before="20" w:after="20" w:line="276" w:lineRule="auto"/>
        <w:ind w:firstLine="720"/>
        <w:jc w:val="both"/>
        <w:rPr/>
      </w:pPr>
      <w:r>
        <w:rPr>
          <w:rFonts w:ascii="Georgia" w:hAnsi="Georgia" w:cs="Georgia" w:eastAsia="Georgia"/>
          <w:b w:val="0"/>
          <w:bCs w:val="0"/>
          <w:i w:val="1"/>
          <w:iCs w:val="1"/>
          <w:color w:val="000000"/>
          <w:sz w:val="24"/>
          <w:szCs w:val="24"/>
          <w:rtl w:val="0"/>
        </w:rPr>
        <w:t>• Codes: Acs1–Acs10, Aas1–Aas10 (Agriculture). VM1–VM20. B1–B20 (Biology).</w:t>
      </w:r>
      <w:r>
        <w:rPr>
          <w:rtl w:val="0"/>
          <w:sz w:val="24"/>
          <w:szCs w:val="24"/>
        </w:rPr>
      </w:r>
    </w:p>
    <w:p w:rsidR="00000000" w:rsidDel="00000000" w:rsidP="00000000" w:rsidRDefault="00000000" w:rsidRPr="00000000" w14:paraId="0000025D">
      <w:pPr>
        <w:spacing w:before="20" w:after="20" w:line="276" w:lineRule="auto"/>
        <w:ind w:firstLine="720"/>
        <w:jc w:val="both"/>
        <w:rPr/>
      </w:pPr>
      <w:r>
        <w:rPr>
          <w:rFonts w:ascii="Georgia" w:hAnsi="Georgia" w:cs="Georgia" w:eastAsia="Georgia"/>
          <w:b w:val="0"/>
          <w:bCs w:val="0"/>
          <w:i w:val="1"/>
          <w:iCs w:val="1"/>
          <w:color w:val="000000"/>
          <w:sz w:val="22"/>
          <w:szCs w:val="22"/>
          <w:rtl w:val="0"/>
        </w:rPr>
        <w:t>• Unhedged rows separate from hedge tallies. [G]/[C] only for warranted-but-absent caution.</w:t>
      </w:r>
      <w:r>
        <w:rPr>
          <w:rtl w:val="0"/>
        </w:rPr>
      </w:r>
    </w:p>
    <w:p w:rsidR="00000000" w:rsidDel="00000000" w:rsidP="00000000" w:rsidRDefault="00000000" w:rsidRPr="00000000" w14:paraId="0000026C">
      <w:pPr>
        <w:spacing w:before="20" w:after="20" w:line="276" w:lineRule="auto"/>
        <w:jc w:val="left"/>
        <w:rPr/>
      </w:pPr>
      <w:r>
        <w:rPr>
          <w:rFonts w:ascii="Georgia" w:hAnsi="Georgia" w:cs="Georgia" w:eastAsia="Georgia"/>
          <w:b w:val="0"/>
          <w:bCs w:val="0"/>
          <w:i w:val="1"/>
          <w:iCs w:val="1"/>
          <w:sz w:val="24"/>
          <w:szCs w:val="24"/>
          <w:rtl w:val="0"/>
        </w:rPr>
        <w:t>• Optional Rejected Candidates tab for FP traceability.</w:t>
      </w:r>
      <w:r>
        <w:rPr>
          <w:rtl w:val="0"/>
          <w:sz w:val="24"/>
          <w:szCs w:val="24"/>
        </w:rPr>
      </w:r>
    </w:p>
    <w:p>
      <w:pPr>
        <w:spacing w:line="240" w:lineRule="auto" w:before="0" w:after="0"/>
      </w:pPr>
      <w:r>
        <w:br w:type="page"/>
      </w:r>
    </w:p>
    <w:p w:rsidR="00000000" w:rsidDel="00000000" w:rsidP="00000000" w:rsidRDefault="00000000" w:rsidRPr="00000000" w14:paraId="0000027B">
      <w:pPr>
        <w:spacing w:before="120" w:after="0" w:line="480" w:lineRule="auto"/>
        <w:jc w:val="left"/>
        <w:rPr/>
      </w:pPr>
      <w:r>
        <w:rPr>
          <w:rFonts w:ascii="Georgia" w:cs="Georgia" w:eastAsia="Georgia" w:hAnsi="Georgia"/>
          <w:b w:val="1"/>
          <w:bCs w:val="1"/>
          <w:i w:val="0"/>
          <w:iCs w:val="0"/>
          <w:sz w:val="28"/>
          <w:szCs w:val="28"/>
          <w:rtl w:val="0"/>
        </w:rPr>
        <w:t xml:space="preserve">APPENDIX B: PILOT SAMPLE ANALYSIS AND CODING VERIFICATION</w:t>
      </w:r>
      <w:r>
        <w:rPr>
          <w:rtl w:val="0"/>
          <w:sz w:val="28"/>
          <w:szCs w:val="28"/>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2"/>
          <w:szCs w:val="22"/>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sz w:val="24"/>
          <w:szCs w:val="24"/>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2</w:t>
      </w:r>
      <w:r>
        <w:rPr>
          <w:rtl w:val="0"/>
          <w:sz w:val="24"/>
          <w:szCs w:val="24"/>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4"/>
          <w:szCs w:val="24"/>
          <w:rtl w:val="0"/>
        </w:rPr>
        <w:t xml:space="preserve">Coded Instances:</w:t>
      </w:r>
      <w:r>
        <w:rPr>
          <w:rtl w:val="0"/>
          <w:sz w:val="24"/>
          <w:szCs w:val="24"/>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4"/>
          <w:szCs w:val="24"/>
          <w:rtl w:val="0"/>
        </w:rPr>
        <w:t xml:space="preserve">“The results suggested that...” (Lexical Verb - Epistemic Caution)</w:t>
      </w:r>
      <w:r>
        <w:rPr>
          <w:rtl w:val="0"/>
          <w:sz w:val="24"/>
          <w:szCs w:val="24"/>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4"/>
          <w:szCs w:val="24"/>
          <w:rtl w:val="0"/>
        </w:rPr>
        <w:t xml:space="preserve">“...extracts are potential alternative stains...” (Lexical Adjective - Epistemic Caution)</w:t>
      </w:r>
      <w:r>
        <w:rPr>
          <w:rtl w:val="0"/>
          <w:sz w:val="24"/>
          <w:szCs w:val="24"/>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4"/>
          <w:szCs w:val="24"/>
          <w:rtl w:val="0"/>
        </w:rPr>
        <w:t xml:space="preserve">Excluded: </w:t>
      </w:r>
      <w:r>
        <w:rPr>
          <w:rFonts w:ascii="Georgia" w:cs="Georgia" w:eastAsia="Georgia" w:hAnsi="Georgia"/>
          <w:b w:val="0"/>
          <w:bCs w:val="0"/>
          <w:i w:val="0"/>
          <w:iCs w:val="0"/>
          <w:sz w:val="24"/>
          <w:szCs w:val="24"/>
          <w:rtl w:val="0"/>
        </w:rPr>
        <w:t xml:space="preserve">“approximately two and one-half” (Procedural measurement, not epistemic).</w:t>
      </w:r>
      <w:r>
        <w:rPr>
          <w:rtl w:val="0"/>
          <w:sz w:val="24"/>
          <w:szCs w:val="24"/>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sz w:val="24"/>
          <w:szCs w:val="24"/>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4"/>
          <w:szCs w:val="24"/>
          <w:rtl w:val="0"/>
        </w:rPr>
        <w:t xml:space="preserve">Key Excerpt: </w:t>
      </w:r>
      <w:r>
        <w:rPr>
          <w:rFonts w:ascii="Georgia" w:cs="Georgia" w:eastAsia="Georgia" w:hAnsi="Georgia"/>
          <w:b w:val="0"/>
          <w:bCs w:val="0"/>
          <w:i w:val="0"/>
          <w:iCs w:val="0"/>
          <w:sz w:val="24"/>
          <w:szCs w:val="24"/>
          <w:rtl w:val="0"/>
        </w:rPr>
        <w:t xml:space="preserve">“Results of the study showed that Comparison on Curing Methods…”</w:t>
      </w:r>
      <w:r>
        <w:rPr>
          <w:rtl w:val="0"/>
          <w:sz w:val="24"/>
          <w:szCs w:val="24"/>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sz w:val="24"/>
          <w:szCs w:val="24"/>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4"/>
          <w:szCs w:val="24"/>
          <w:rtl w:val="0"/>
        </w:rPr>
        <w:t xml:space="preserve">General observation from the pilot</w:t>
      </w:r>
      <w:r>
        <w:rPr>
          <w:rtl w:val="0"/>
          <w:sz w:val="24"/>
          <w:szCs w:val="24"/>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8"/>
          <w:szCs w:val="28"/>
          <w:rtl w:val="0"/>
        </w:rPr>
        <w:t xml:space="preserve">APPENDIX C: CODED CORPUS WITH HIGHLIGHTS</w:t>
      </w:r>
      <w:r>
        <w:rPr>
          <w:rtl w:val="0"/>
          <w:sz w:val="28"/>
          <w:szCs w:val="28"/>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i w:val="0"/>
          <w:sz w:val="22"/>
        </w:rPr>
        <w:t xml:space="preserve">This appendix presents the 60 abstracts with all coding marks applied. Type marks = color highlight on hedge tokens (blue = Modal Verbs, red = Lexical Hedges, yellow = Adverbial Hedges, green = Clause-Level Hedges). Function marks = function label in colored text (EC = orange, P = purple, DO = brown). Discourse connectors (Hence/Thus) are tagged </w:t>
      </w:r>
      <w:r>
        <w:rPr>
          <w:rFonts w:ascii="Georgia" w:hAnsi="Georgia" w:cs="Georgia" w:eastAsia="Georgia"/>
          <w:b w:val="0"/>
          <w:i w:val="0"/>
          <w:sz w:val="22"/>
          <w:color w:val="000000"/>
        </w:rPr>
        <w:t>(DO)</w:t>
      </w:r>
      <w:r>
        <w:rPr>
          <w:rFonts w:ascii="Georgia" w:hAnsi="Georgia" w:cs="Georgia" w:eastAsia="Georgia"/>
          <w:b w:val="0"/>
          <w:i w:val="0"/>
          <w:sz w:val="22"/>
        </w:rPr>
        <w:t xml:space="preserve"> even when not hedges. Function labels in this appendix are only EC, P, and DO. False positives = strikethrough + reason code in grey (e.g. FP-Rec = recommendation, not a function). Unhedged assertions = grey highlight + [G]/[C] bracket (warranted-but-absent caution only).</w:t>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4"/>
          <w:szCs w:val="24"/>
          <w:rtl w:val="0"/>
          <w:b/>
          <w:bCs/>
        </w:rPr>
        <w:t>Biology (B1–B20)</w:t>
      </w:r>
      <w:r>
        <w:rPr>
          <w:rtl w:val="0"/>
          <w:sz w:val="24"/>
          <w:szCs w:val="24"/>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sz w:val="24"/>
          <w:szCs w:val="24"/>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sz w:val="24"/>
          <w:szCs w:val="24"/>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the zone of inhibition in the evaluation of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sz w:val="24"/>
          <w:szCs w:val="24"/>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sz w:val="24"/>
          <w:szCs w:val="24"/>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sz w:val="24"/>
          <w:szCs w:val="24"/>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sz w:val="24"/>
          <w:szCs w:val="24"/>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would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in the optimization process, varying ratios of UCO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further research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sz w:val="24"/>
          <w:szCs w:val="24"/>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sz w:val="24"/>
          <w:szCs w:val="24"/>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sz w:val="24"/>
          <w:szCs w:val="24"/>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trike w:val="0"/>
          <w:shd w:val="clear" w:fill="BFBFBF"/>
          <w:color w:val="000000"/>
        </w:rPr>
        <w:t>caused</w:t>
      </w:r>
      <w:r>
        <w:rPr>
          <w:rFonts w:ascii="Georgia" w:hAnsi="Georgia" w:cs="Georgia" w:eastAsia="Georgia"/>
          <w:sz w:val="22"/>
          <w:szCs w:val="22"/>
          <w:b w:val="0"/>
          <w:bCs w:val="0"/>
          <w:strike w:val="0"/>
          <w:color w:val="00000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sz w:val="24"/>
          <w:szCs w:val="24"/>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sz w:val="24"/>
          <w:szCs w:val="24"/>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aimed to investigate the presence of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trike w:val="0"/>
          <w:shd w:val="clear" w:fill="BFBFBF"/>
          <w:color w:val="000000"/>
        </w:rPr>
        <w:t>provides</w:t>
      </w:r>
      <w:r>
        <w:rPr>
          <w:rFonts w:ascii="Georgia" w:hAnsi="Georgia" w:cs="Georgia" w:eastAsia="Georgia"/>
          <w:sz w:val="22"/>
          <w:szCs w:val="22"/>
          <w:b w:val="0"/>
          <w:bCs w:val="0"/>
          <w:strike w:val="0"/>
          <w:color w:val="000000"/>
        </w:rPr>
        <w:t xml:space="preserve"> [G] a comprehensive approach for diagnosing and studying mycobacteriosis in cultivated milkfish, offering insights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sz w:val="24"/>
          <w:szCs w:val="24"/>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Antimicrobial resistance is a major threat to public health worldwide, making infections difficult to treat. This problem calls for developing novel and alternative strategies to attenuate microorganisms without inducing resistance.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lactic acid bacteria (LAB) have emerged as a focal point due to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quorum quenching (QQ) activities. In this study, lactic acid bacteria were obtained from a parallel study, and the antimicrobial activity of the top 10 isolates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sz w:val="24"/>
          <w:szCs w:val="24"/>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sz w:val="24"/>
          <w:szCs w:val="24"/>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sz w:val="24"/>
          <w:szCs w:val="24"/>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sz w:val="24"/>
          <w:szCs w:val="24"/>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sz w:val="24"/>
          <w:szCs w:val="24"/>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sz w:val="24"/>
          <w:szCs w:val="24"/>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sz w:val="24"/>
          <w:szCs w:val="24"/>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local government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sz w:val="24"/>
          <w:szCs w:val="24"/>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4"/>
          <w:szCs w:val="24"/>
          <w:rtl w:val="0"/>
          <w:b/>
          <w:bCs/>
        </w:rPr>
        <w:t>Veterinary Medicine (VM1–VM20)</w:t>
      </w:r>
      <w:r>
        <w:rPr>
          <w:rtl w:val="0"/>
          <w:sz w:val="24"/>
          <w:szCs w:val="24"/>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sz w:val="24"/>
          <w:szCs w:val="24"/>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sz w:val="24"/>
          <w:szCs w:val="24"/>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sz w:val="24"/>
          <w:szCs w:val="24"/>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[C] resistance to meropenem. On the other hand, the evaluation of retail egg vendors showed a major issue of reusing the egg trays across vendors which has been strongly linked to bacterial growth on eggshells, yolks and albumen, with p-values of 0.030 and 0.014, respectively. The findings </w:t>
      </w:r>
      <w:r>
        <w:rPr>
          <w:rFonts w:ascii="Georgia" w:hAnsi="Georgia" w:cs="Georgia" w:eastAsia="Georgia"/>
          <w:sz w:val="22"/>
          <w:szCs w:val="22"/>
          <w:b w:val="0"/>
          <w:bCs w:val="0"/>
          <w:color w:val="000000"/>
          <w:strike w:val="1"/>
        </w:rPr>
        <w:t>suggests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sz w:val="24"/>
          <w:szCs w:val="24"/>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color w:val="000000"/>
          <w:strike w:val="1"/>
        </w:rPr>
        <w:t>suggest</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sz w:val="24"/>
          <w:szCs w:val="24"/>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sz w:val="24"/>
          <w:szCs w:val="24"/>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color w:val="00000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sz w:val="24"/>
          <w:szCs w:val="24"/>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sz w:val="24"/>
          <w:szCs w:val="24"/>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sz w:val="24"/>
          <w:szCs w:val="24"/>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color w:val="000000"/>
          <w:strike w:val="1"/>
        </w:rPr>
        <w:t>recommend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sz w:val="24"/>
          <w:szCs w:val="24"/>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trike w:val="0"/>
          <w:shd w:val="clear" w:fill="BFBFBF"/>
          <w:color w:val="000000"/>
        </w:rPr>
        <w:t>were</w:t>
      </w:r>
      <w:r>
        <w:rPr>
          <w:rFonts w:ascii="Georgia" w:hAnsi="Georgia" w:cs="Georgia" w:eastAsia="Georgia"/>
          <w:sz w:val="22"/>
          <w:szCs w:val="22"/>
          <w:b w:val="0"/>
          <w:bCs w:val="0"/>
          <w:strike w:val="0"/>
          <w:color w:val="000000"/>
        </w:rPr>
        <w:t xml:space="preserve"> [G] sensitive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sz w:val="24"/>
          <w:szCs w:val="24"/>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sz w:val="24"/>
          <w:szCs w:val="24"/>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sz w:val="24"/>
          <w:szCs w:val="24"/>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sz w:val="24"/>
          <w:szCs w:val="24"/>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sz w:val="24"/>
          <w:szCs w:val="24"/>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sz w:val="24"/>
          <w:szCs w:val="24"/>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trike w:val="0"/>
          <w:shd w:val="clear" w:fill="BFBFBF"/>
          <w:color w:val="000000"/>
        </w:rPr>
        <w:t>has</w:t>
      </w:r>
      <w:r>
        <w:rPr>
          <w:rFonts w:ascii="Georgia" w:hAnsi="Georgia" w:cs="Georgia" w:eastAsia="Georgia"/>
          <w:sz w:val="22"/>
          <w:szCs w:val="22"/>
          <w:b w:val="0"/>
          <w:bCs w:val="0"/>
          <w:strike w:val="0"/>
          <w:color w:val="000000"/>
        </w:rPr>
        <w:t xml:space="preserve"> [G]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sz w:val="24"/>
          <w:szCs w:val="24"/>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sz w:val="24"/>
          <w:szCs w:val="24"/>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sz w:val="24"/>
          <w:szCs w:val="24"/>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sz w:val="24"/>
          <w:szCs w:val="24"/>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Crop Science (Acs1–Acs10)</w:t>
      </w:r>
      <w:r>
        <w:rPr>
          <w:rtl w:val="0"/>
          <w:sz w:val="24"/>
          <w:szCs w:val="24"/>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sz w:val="24"/>
          <w:szCs w:val="24"/>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sz w:val="24"/>
          <w:szCs w:val="24"/>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sz w:val="24"/>
          <w:szCs w:val="24"/>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sz w:val="24"/>
          <w:szCs w:val="24"/>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sz w:val="24"/>
          <w:szCs w:val="24"/>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sz w:val="24"/>
          <w:szCs w:val="24"/>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sz w:val="24"/>
          <w:szCs w:val="24"/>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sz w:val="24"/>
          <w:szCs w:val="24"/>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trike w:val="0"/>
          <w:shd w:val="clear" w:fill="BFBFBF"/>
          <w:color w:val="000000"/>
        </w:rPr>
        <w:t>influenced</w:t>
      </w:r>
      <w:r>
        <w:rPr>
          <w:rFonts w:ascii="Georgia" w:hAnsi="Georgia" w:cs="Georgia" w:eastAsia="Georgia"/>
          <w:sz w:val="22"/>
          <w:szCs w:val="22"/>
          <w:b w:val="0"/>
          <w:bCs w:val="0"/>
          <w:strike w:val="0"/>
          <w:color w:val="000000"/>
        </w:rPr>
        <w:t xml:space="preserve"> [G] the plant height, weight of fruits, number of marketable and non-marketable fruits, and computed yield. The researcher </w:t>
      </w:r>
      <w:r>
        <w:rPr>
          <w:rFonts w:ascii="Georgia" w:hAnsi="Georgia" w:cs="Georgia" w:eastAsia="Georgia"/>
          <w:sz w:val="22"/>
          <w:szCs w:val="22"/>
          <w:b w:val="0"/>
          <w:bCs w:val="0"/>
          <w:color w:val="000000"/>
          <w:strike w:val="1"/>
        </w:rPr>
        <w:t>recommends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sz w:val="24"/>
          <w:szCs w:val="24"/>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sz w:val="24"/>
          <w:szCs w:val="24"/>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T3: NPK+14-14-14 was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Animal Science (Aas1–Aas10)</w:t>
      </w:r>
      <w:r>
        <w:rPr>
          <w:rtl w:val="0"/>
          <w:sz w:val="24"/>
          <w:szCs w:val="24"/>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sz w:val="24"/>
          <w:szCs w:val="24"/>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sz w:val="24"/>
          <w:szCs w:val="24"/>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trike w:val="0"/>
          <w:shd w:val="clear" w:fill="BFBFBF"/>
          <w:color w:val="000000"/>
        </w:rPr>
        <w:t>had</w:t>
      </w:r>
      <w:r>
        <w:rPr>
          <w:rFonts w:ascii="Georgia" w:hAnsi="Georgia" w:cs="Georgia" w:eastAsia="Georgia"/>
          <w:sz w:val="22"/>
          <w:szCs w:val="22"/>
          <w:b w:val="0"/>
          <w:bCs w:val="0"/>
          <w:strike w:val="0"/>
          <w:color w:val="000000"/>
        </w:rPr>
        <w:t xml:space="preserve"> [C] the biggest impact, resulting in the heaviest weight. Additionally, the total return result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[G]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sz w:val="24"/>
          <w:szCs w:val="24"/>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sz w:val="24"/>
          <w:szCs w:val="24"/>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sz w:val="24"/>
          <w:szCs w:val="24"/>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sz w:val="24"/>
          <w:szCs w:val="24"/>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Treatment 3 (sand paper method). It was found to have a significant effect on the growth and germination rate of pigeon pea in terms of days to germinate, plant height, a number of leaves, and length of leaves. Sulfuric was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sz w:val="24"/>
          <w:szCs w:val="24"/>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sz w:val="24"/>
          <w:szCs w:val="24"/>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sz w:val="24"/>
          <w:szCs w:val="24"/>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sz w:val="24"/>
          <w:szCs w:val="24"/>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