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and Afshar et al., 2014). Developing researchers across contexts show limited hedge variety and tend to default to modal verbs (Khunasathitchai et al., 2025, and Wang, 2022). L2 writers face additional constraints from linguistic factors and limited explicit instruction (Demir, 2018, and Petchkij, 2019). Philippine and ASEAN studies confirm reliance on modals and, in some contexts, a preference for boosters (Ningrum et al., 2024, and Escalona, 2025, and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Kruskal-Wallis Test, </w:t>
      </w:r>
      <w:r>
        <w:rPr>
          <w:rFonts w:ascii="Georgia" w:hAnsi="Georgia" w:cs="Georgia" w:eastAsia="Georgia"/>
          <w:i w:val="0"/>
          <w:iCs w:val="0"/>
          <w:sz w:val="22"/>
          <w:szCs w:val="22"/>
          <w:rtl w:val="0"/>
          <w:b w:val="0"/>
          <w:bCs w:val="0"/>
        </w:rPr>
        <w:t>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b w:val="0"/>
          <w:bCs w:val="0"/>
        </w:rPr>
        <w:t>conceptually, the Mann-Whitney U test (also called the Wilcoxon rank-sum test) is a non-parametric test that compares the distributions of a continuous or ordinal variable between two independent groups. Operationally, this study used it as an exploratory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b/>
          <w:bCs/>
          <w:sz w:val="22"/>
        </w:rPr>
        <w:t xml:space="preserve">e. Data Analysis. </w:t>
      </w:r>
      <w:r>
        <w:rPr>
          <w:rFonts w:ascii="Georgia" w:hAnsi="Georgia" w:cs="Georgia" w:eastAsia="Georgia"/>
          <w:i w:val="0"/>
          <w:iCs w:val="0"/>
          <w:sz w:val="22"/>
          <w:szCs w:val="22"/>
          <w:rtl w:val="0"/>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b/>
          <w:sz w:val="24"/>
        </w:rPr>
        <w:t>Table 1</w:t>
      </w:r>
    </w:p>
    <w:p>
      <w:pPr>
        <w:keepNext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Exclusion Criteria. 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b w:val="0"/>
          <w:bCs w:val="1"/>
          <w:i w:val="0"/>
          <w:iCs w:val="0"/>
          <w:rtl w:val="0"/>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spacing w:before="720" w:after="0" w:line="480" w:lineRule="auto"/>
        <w:jc w:val="center"/>
      </w:pPr>
      <w:r>
        <w:rPr>
          <w:rFonts w:ascii="Georgia" w:hAnsi="Georgia"/>
          <w:b/>
          <w:sz w:val="24"/>
        </w:rPr>
        <w:t>Table 2</w:t>
      </w:r>
    </w:p>
    <w:p>
      <w:pPr>
        <w:keepNext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Layer 1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100.0%</w:t>
            </w:r>
          </w:p>
        </w:tc>
      </w:tr>
    </w:tbl>
    <w:p>
      <w:pPr>
        <w:spacing w:before="120" w:after="0" w:line="480" w:lineRule="auto"/>
        <w:ind w:firstLine="720"/>
      </w:pPr>
      <w:r>
        <w:rPr>
          <w:rFonts w:ascii="Georgia" w:hAnsi="Georgia" w:cs="Georgia" w:eastAsia="Georgia"/>
          <w:sz w:val="22"/>
          <w:szCs w:val="22"/>
        </w:rPr>
        <w:t>Table 3 lists every retained hedge form in the corpus with its Layer 1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b/>
          <w:sz w:val="24"/>
        </w:rPr>
        <w:t>Table 4</w:t>
      </w:r>
    </w:p>
    <w:p>
      <w:pPr>
        <w:keepNext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5’s Unhedged sites column reports the corpus-wide total of 37.) These sites represent clauses where a hedge could have been inserted without changing the underlying facts, but no hedge was used. Layer 3 is included as a descriptive inventory of where hedging is absent in this corpus, not as a comparative claim against an expert or cross-discipline baseline. Without a matched comparison group, the counts document absence of overt hedges in specific claim environments. They do not measure underuse relative to a norm.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spacing w:before="720" w:after="0" w:line="480" w:lineRule="auto"/>
        <w:jc w:val="center"/>
      </w:pPr>
      <w:r>
        <w:rPr>
          <w:rFonts w:ascii="Georgia" w:hAnsi="Georgia"/>
          <w:b/>
          <w:sz w:val="24"/>
        </w:rPr>
        <w:t>Table 5</w:t>
      </w:r>
    </w:p>
    <w:p>
      <w:pPr>
        <w:keepNext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tblHeader/>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Veterinary Medicine is the field that differs.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b/>
          <w:sz w:val="24"/>
        </w:rPr>
        <w:t>Table 6</w:t>
      </w:r>
    </w:p>
    <w:p>
      <w:pPr>
        <w:keepNext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Most hedges fall in implication and conclusion sentences rather than in direct results reporting. Forms such as potential and suggest/suggests/suggesting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Parts I through III map frequency, function, and cross-disciplinary density. The contrasts below are exploratory descriptions of what was observed here, not stable discipline-level characteristics. As reported in Part II, the Kruskal-Wallis test on rates reached p = .025. Exploratory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Statistical evidence is exploratory (Kruskal-Wallis on rates p = .025, and pairwise Mann-Whitney tests with Bonferroni correction leave Biology–Veterinary Medicine as the surviving contrast)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both"/>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both"/>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both"/>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both"/>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both"/>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pPr>
        <w:spacing w:before="0" w:after="0" w:line="480" w:lineRule="auto"/>
        <w:ind w:left="720" w:hanging="720"/>
        <w:jc w:val="both"/>
        <w:rPr/>
      </w:pPr>
      <w:r>
        <w:rPr>
          <w:rFonts w:ascii="Georgia" w:hAnsi="Georgia"/>
          <w:sz w:val="22"/>
          <w:szCs w:val="22"/>
        </w:rPr>
        <w:t xml:space="preserve">Crompton, P. (1997). Hedging in academic writing: Some theoretical problems. English for Specific Purposes, 16(4), 271-287. https://www.academia.edu/50160307/Hedging_in_academic_writing_Some_theoretical_problems</w:t>
      </w:r>
    </w:p>
    <w:p w:rsidR="00000000" w:rsidDel="00000000" w:rsidP="00000000" w:rsidRDefault="00000000" w:rsidRPr="00000000" w14:paraId="0000018B">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both"/>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both"/>
        <w:rPr/>
      </w:pPr>
      <w:r>
        <w:rPr>
          <w:rFonts w:ascii="Georgia" w:cs="Georgia" w:eastAsia="Georgia" w:hAnsi="Georgia"/>
          <w:b w:val="0"/>
          <w:bCs w:val="0"/>
          <w:i w:val="0"/>
          <w:iCs w:val="0"/>
          <w:sz w:val="22"/>
          <w:szCs w:val="22"/>
          <w:rtl w:val="0"/>
        </w:rPr>
        <w:t>Khunasathitchai, K., Sittironnarit, S., Sinturat, T., &amp; Kumdee, S. (2025). Move analysis and hedge use in the research paper abstracts of Thai EFL English-majored undergraduates. rEFLections, 32(2), 951–973. https://doi.org/10.61508/refl.v32i2.282512</w:t>
      </w:r>
      <w:r>
        <w:rPr>
          <w:rFonts w:ascii="Georgia" w:cs="Georgia" w:eastAsia="Georgia" w:hAnsi="Georgia"/>
          <w:b w:val="0"/>
          <w:bCs w:val="0"/>
          <w:i w:val="1"/>
          <w:iCs w:val="1"/>
          <w:sz w:val="22"/>
          <w:szCs w:val="22"/>
          <w:rtl w:val="0"/>
        </w:rPr>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192">
      <w:pPr>
        <w:spacing w:before="0" w:after="0" w:line="480" w:lineRule="auto"/>
        <w:ind w:left="720" w:hanging="720"/>
        <w:jc w:val="both"/>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both"/>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both"/>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both"/>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both"/>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both"/>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both"/>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both"/>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both"/>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Layer 3.</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60" w:after="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80" w:after="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spacing w:before="60" w:after="0" w:line="288"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80" w:after="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0" w:after="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120" w:after="6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tblHeader w:val="0"/>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tblHeader w:val="0"/>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tblHeader w:val="0"/>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tblHeader w:val="0"/>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0" w:after="20" w:line="360" w:lineRule="auto"/>
        <w:ind w:firstLine="720"/>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Layer 3: claim clauses with no hedge. Reverse test: a hedge could be inserted without changing the facts. Procedural statements never markable. Example: “Results showed X” → could be “Results suggested X.”</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A finding stated as settled fact.</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000000"/>
                <w:sz w:val="20"/>
                <w:szCs w:val="20"/>
                <w:shd w:fill="bfbfbf" w:val="clear"/>
                <w:rtl w:val="0"/>
              </w:rPr>
              <w:t xml:space="preserve">Results showed</w:t>
            </w:r>
            <w:r>
              <w:rPr>
                <w:rFonts w:ascii="Georgia" w:cs="Georgia" w:eastAsia="Georgia" w:hAnsi="Georgia"/>
                <w:b w:val="0"/>
                <w:bCs w:val="0"/>
                <w:i w:val="0"/>
                <w:iCs w:val="0"/>
                <w:color w:val="000000"/>
                <w:sz w:val="20"/>
                <w:szCs w:val="20"/>
                <w:rtl w:val="0"/>
              </w:rPr>
              <w:t xml:space="preserve"> that all shrimp farms were free of the disease.”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A broader inference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20"/>
                <w:szCs w:val="20"/>
                <w:rtl w:val="0"/>
              </w:rPr>
              <w:t xml:space="preserve">“This led to the </w:t>
            </w:r>
            <w:r>
              <w:rPr>
                <w:rFonts w:ascii="Georgia" w:cs="Georgia" w:eastAsia="Georgia" w:hAnsi="Georgia"/>
                <w:b w:val="1"/>
                <w:bCs w:val="1"/>
                <w:strike w:val="0"/>
                <w:color w:val="000000"/>
                <w:sz w:val="20"/>
                <w:szCs w:val="20"/>
                <w:shd w:fill="bfbfbf" w:val="clear"/>
                <w:rtl w:val="0"/>
              </w:rPr>
              <w:t xml:space="preserve">conclusion that</w:t>
            </w:r>
            <w:r>
              <w:rPr>
                <w:rFonts w:ascii="Georgia" w:cs="Georgia" w:eastAsia="Georgia" w:hAnsi="Georgia"/>
                <w:b w:val="0"/>
                <w:bCs w:val="0"/>
                <w:i w:val="0"/>
                <w:iCs w:val="0"/>
                <w:color w:val="000000"/>
                <w:sz w:val="20"/>
                <w:szCs w:val="20"/>
                <w:rtl w:val="0"/>
              </w:rPr>
              <w:t xml:space="preserve"> all farms were free of it.”</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A cause and effect link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20"/>
                <w:szCs w:val="20"/>
                <w:rtl w:val="0"/>
              </w:rPr>
              <w:t xml:space="preserve">“Extracts </w:t>
            </w:r>
            <w:r>
              <w:rPr>
                <w:rFonts w:ascii="Georgia" w:cs="Georgia" w:eastAsia="Georgia" w:hAnsi="Georgia"/>
                <w:b w:val="1"/>
                <w:bCs w:val="1"/>
                <w:strike w:val="0"/>
                <w:color w:val="000000"/>
                <w:sz w:val="20"/>
                <w:szCs w:val="20"/>
                <w:shd w:fill="bfbfbf" w:val="clear"/>
                <w:rtl w:val="0"/>
              </w:rPr>
              <w:t xml:space="preserve">produce</w:t>
            </w:r>
            <w:r>
              <w:rPr>
                <w:rFonts w:ascii="Georgia" w:cs="Georgia" w:eastAsia="Georgia" w:hAnsi="Georgia"/>
                <w:b w:val="0"/>
                <w:bCs w:val="0"/>
                <w:i w:val="0"/>
                <w:iCs w:val="0"/>
                <w:color w:val="000000"/>
                <w:sz w:val="20"/>
                <w:szCs w:val="20"/>
                <w:rtl w:val="0"/>
              </w:rPr>
              <w:t xml:space="preserve"> comparable staining because they contain similar compounds.”</w:t>
            </w:r>
            <w:r>
              <w:rPr>
                <w:rtl w:val="0"/>
                <w:sz w:val="20"/>
                <w:szCs w:val="20"/>
                <w:rFonts w:ascii="Georgia" w:hAnsi="Georgia"/>
              </w:rPr>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hAnsi="Georgia" w:cs="Georgia" w:eastAsia="Georgia"/>
          <w:b w:val="0"/>
          <w:bCs w:val="0"/>
          <w:i w:val="0"/>
          <w:iCs w:val="0"/>
          <w:color w:val="000000"/>
          <w:rtl w:val="0"/>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hAnsi="Georgia" w:cs="Georgia" w:eastAsia="Georgia"/>
          <w:b w:val="0"/>
          <w:bCs w:val="0"/>
          <w:i w:val="0"/>
          <w:iCs w:val="0"/>
          <w:color w:val="000000"/>
          <w:rtl w:val="0"/>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The study would (FP-Gen)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(DO),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[R]. This study is essential for getting insights into eco-brick manufacture because the workability of SUPs and UCOs as raw materials is proven. The research findings do not apply to buildings [G]. Therefore (DO), further research will (FP-Gen) aid in underlining the importance of optimizing the ingredient ratios to acquire desirable quality eco-bricks for sustainable construction applications.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(DO),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00b0f0" w:val="clear"/>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cs="Georgia" w:eastAsia="Georgia"/>
          <w:sz w:val="22"/>
          <w:szCs w:val="22"/>
          <w:b w:val="0"/>
          <w:bCs w:val="0"/>
          <w:strike w:val="0"/>
          <w:shd w:val="clear" w:fill="BFBFBF"/>
          <w:color w:val="000000"/>
        </w:rPr>
        <w:t>A total of 181 microplastics were detected across all samples, wherein the concentration of microplastics was higher in Treatment 1 (74.03%).</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w:t>
      </w:r>
      <w:r>
        <w:rPr>
          <w:rFonts w:ascii="Georgia" w:hAnsi="Georgia" w:cs="Georgia" w:eastAsia="Georgia"/>
          <w:sz w:val="22"/>
          <w:szCs w:val="22"/>
          <w:b w:val="0"/>
          <w:bCs w:val="0"/>
          <w:strike w:val="0"/>
          <w:shd w:val="clear" w:fill="BFBFBF"/>
          <w:color w:val="000000"/>
        </w:rPr>
        <w:t>One way ANOVA was used and the differences between the groups were statistically significant.</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cs="Georgia" w:eastAsia="Georgia"/>
          <w:sz w:val="22"/>
          <w:szCs w:val="22"/>
          <w:b w:val="0"/>
          <w:bCs w:val="0"/>
          <w:strike w:val="0"/>
          <w:shd w:val="clear" w:fill="BFBFBF"/>
          <w:color w:val="000000"/>
        </w:rPr>
        <w:t>The results disclosed that the percentage of mortality and moisture content were statistically significant at 1% (P&lt;0.01) and (P&lt;0.05) level with 48 hours after the post-treatment.</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However, mortality rate and moisture content were not significant after 6 hours and 24 hours.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Therefore,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