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after="80" w:line="240" w:lineRule="auto" w:before="0"/>
        <w:jc w:val="center"/>
      </w:pPr>
      <w:r>
        <w:rPr>
          <w:rFonts w:ascii="Georgia" w:hAnsi="Georgia" w:eastAsia="Georgia"/>
          <w:b/>
          <w:i w:val="0"/>
          <w:sz w:val="28"/>
        </w:rPr>
        <w:t>THE USE OF HEDGES IN RESEARCH ABSTRACTS</w:t>
      </w:r>
    </w:p>
    <w:p>
      <w:pPr>
        <w:spacing w:after="80" w:line="240" w:lineRule="auto" w:before="0"/>
        <w:jc w:val="center"/>
      </w:pPr>
      <w:r>
        <w:rPr>
          <w:rFonts w:ascii="Georgia" w:hAnsi="Georgia" w:eastAsia="Georgia"/>
          <w:b/>
          <w:i w:val="0"/>
          <w:sz w:val="28"/>
        </w:rPr>
        <w:t>ACROSS APPLIED LIFE SCIENCES</w:t>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after="80" w:line="240" w:lineRule="auto" w:before="0"/>
        <w:jc w:val="center"/>
      </w:pPr>
      <w:r>
        <w:rPr>
          <w:rFonts w:ascii="Georgia" w:hAnsi="Georgia" w:eastAsia="Georgia"/>
          <w:b w:val="0"/>
          <w:i w:val="0"/>
          <w:sz w:val="24"/>
        </w:rPr>
        <w:t>A Thesis</w:t>
      </w:r>
    </w:p>
    <w:p>
      <w:pPr>
        <w:spacing w:after="80" w:line="240" w:lineRule="auto" w:before="0"/>
        <w:jc w:val="center"/>
      </w:pPr>
      <w:r>
        <w:rPr>
          <w:rFonts w:ascii="Georgia" w:hAnsi="Georgia" w:eastAsia="Georgia"/>
          <w:b w:val="0"/>
          <w:i w:val="0"/>
          <w:sz w:val="24"/>
        </w:rPr>
        <w:t>Presented to the Faculty of</w:t>
      </w:r>
    </w:p>
    <w:p>
      <w:pPr>
        <w:spacing w:after="80" w:line="240" w:lineRule="auto" w:before="0"/>
        <w:jc w:val="center"/>
      </w:pPr>
      <w:r>
        <w:rPr>
          <w:rFonts w:ascii="Georgia" w:hAnsi="Georgia" w:eastAsia="Georgia"/>
          <w:b w:val="0"/>
          <w:i w:val="0"/>
          <w:sz w:val="24"/>
        </w:rPr>
        <w:t>Department of English</w:t>
      </w:r>
    </w:p>
    <w:p>
      <w:pPr>
        <w:spacing w:after="80" w:line="240" w:lineRule="auto" w:before="0"/>
        <w:jc w:val="center"/>
      </w:pPr>
      <w:r>
        <w:rPr>
          <w:rFonts w:ascii="Georgia" w:hAnsi="Georgia" w:eastAsia="Georgia"/>
          <w:b w:val="0"/>
          <w:i w:val="0"/>
          <w:sz w:val="24"/>
        </w:rPr>
        <w:t>College of Arts and Sciences</w:t>
      </w:r>
    </w:p>
    <w:p>
      <w:pPr>
        <w:spacing w:after="80" w:line="240" w:lineRule="auto" w:before="0"/>
        <w:jc w:val="center"/>
      </w:pPr>
      <w:r>
        <w:rPr>
          <w:rFonts w:ascii="Georgia" w:hAnsi="Georgia" w:eastAsia="Georgia"/>
          <w:b w:val="0"/>
          <w:i w:val="0"/>
          <w:sz w:val="24"/>
        </w:rPr>
        <w:t>Pampanga State Agricultural University</w:t>
      </w:r>
    </w:p>
    <w:p>
      <w:pPr>
        <w:spacing w:after="80" w:line="240" w:lineRule="auto" w:before="0"/>
        <w:jc w:val="center"/>
      </w:pPr>
      <w:r>
        <w:rPr>
          <w:rFonts w:ascii="Georgia" w:hAnsi="Georgia" w:eastAsia="Georgia"/>
          <w:b w:val="0"/>
          <w:i w:val="0"/>
          <w:sz w:val="24"/>
        </w:rPr>
        <w:t>Magalang, Pampanga</w:t>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after="80" w:line="240" w:lineRule="auto" w:before="0"/>
        <w:jc w:val="center"/>
      </w:pPr>
      <w:r>
        <w:rPr>
          <w:rFonts w:ascii="Georgia" w:hAnsi="Georgia" w:eastAsia="Georgia"/>
          <w:b w:val="0"/>
          <w:i w:val="0"/>
          <w:sz w:val="24"/>
        </w:rPr>
        <w:t>In Partial Fulfillment</w:t>
      </w:r>
    </w:p>
    <w:p>
      <w:pPr>
        <w:spacing w:after="80" w:line="240" w:lineRule="auto" w:before="0"/>
        <w:jc w:val="center"/>
      </w:pPr>
      <w:r>
        <w:rPr>
          <w:rFonts w:ascii="Georgia" w:hAnsi="Georgia" w:eastAsia="Georgia"/>
          <w:b w:val="0"/>
          <w:i w:val="0"/>
          <w:sz w:val="24"/>
        </w:rPr>
        <w:t>of the Requirements for the Degree</w:t>
      </w:r>
    </w:p>
    <w:p>
      <w:pPr>
        <w:spacing w:after="80" w:line="240" w:lineRule="auto" w:before="0"/>
        <w:jc w:val="center"/>
      </w:pPr>
      <w:r>
        <w:rPr>
          <w:rFonts w:ascii="Georgia" w:hAnsi="Georgia" w:eastAsia="Georgia"/>
          <w:b w:val="0"/>
          <w:i w:val="0"/>
          <w:sz w:val="24"/>
        </w:rPr>
        <w:t>BACHELOR OF ARTS IN ENGLISH LANGUAGE STUDIES</w:t>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after="80" w:line="240" w:lineRule="auto" w:before="0"/>
        <w:jc w:val="center"/>
      </w:pPr>
      <w:r>
        <w:rPr>
          <w:rFonts w:ascii="Georgia" w:hAnsi="Georgia" w:eastAsia="Georgia"/>
          <w:b w:val="0"/>
          <w:i w:val="0"/>
          <w:sz w:val="24"/>
        </w:rPr>
        <w:t>By</w:t>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after="80" w:line="240" w:lineRule="auto" w:before="0"/>
        <w:jc w:val="center"/>
      </w:pPr>
      <w:r>
        <w:rPr>
          <w:rFonts w:ascii="Georgia" w:hAnsi="Georgia" w:eastAsia="Georgia"/>
          <w:b/>
          <w:i w:val="0"/>
          <w:sz w:val="24"/>
        </w:rPr>
        <w:t>CHRYZ KEAN F. MANUEL</w:t>
      </w:r>
    </w:p>
    <w:p>
      <w:pPr>
        <w:spacing w:before="0" w:after="40" w:line="240" w:lineRule="auto"/>
      </w:pPr>
      <w:r>
        <w:rPr>
          <w:rFonts w:ascii="Georgia" w:hAnsi="Georgia" w:eastAsia="Georgia"/>
          <w:b w:val="0"/>
          <w:i w:val="0"/>
          <w:sz w:val="22"/>
        </w:rPr>
      </w:r>
    </w:p>
    <w:p>
      <w:pPr>
        <w:spacing w:after="80" w:line="240" w:lineRule="auto" w:before="0"/>
        <w:jc w:val="center"/>
      </w:pPr>
      <w:r>
        <w:rPr>
          <w:rFonts w:ascii="Georgia" w:hAnsi="Georgia" w:eastAsia="Georgia"/>
          <w:b w:val="0"/>
          <w:i w:val="0"/>
          <w:sz w:val="24"/>
        </w:rPr>
        <w:t>October 2026</w:t>
      </w:r>
    </w:p>
    <w:p>
      <w:pPr>
        <w:spacing w:after="40" w:before="0"/>
        <w:sectPr>
          <w:pgSz w:w="11906" w:h="16838"/>
          <w:pgMar w:top="1440" w:right="1440" w:bottom="1440" w:left="2160" w:header="720" w:footer="720" w:gutter="0"/>
          <w:cols w:space="720"/>
          <w:docGrid w:linePitch="360"/>
        </w:sectPr>
      </w:pP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keepNext/>
        <w:keepLines/>
        <w:spacing w:before="0" w:after="80" w:line="240" w:lineRule="auto"/>
        <w:jc w:val="center"/>
      </w:pPr>
      <w:r>
        <w:rPr>
          <w:rFonts w:ascii="Georgia" w:hAnsi="Georgia" w:eastAsia="Georgia"/>
          <w:b/>
          <w:i w:val="0"/>
          <w:sz w:val="28"/>
        </w:rPr>
        <w:t>INTRODUCTION</w:t>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keepNext/>
        <w:keepLines/>
        <w:spacing w:before="0" w:after="80" w:line="240" w:lineRule="auto"/>
        <w:jc w:val="left"/>
      </w:pPr>
      <w:r>
        <w:rPr>
          <w:rFonts w:ascii="Georgia" w:hAnsi="Georgia" w:eastAsia="Georgia"/>
          <w:b/>
          <w:i w:val="0"/>
          <w:sz w:val="24"/>
        </w:rPr>
        <w:t>BACKGROUND OF THE STUDY</w:t>
      </w:r>
    </w:p>
    <w:p>
      <w:pPr>
        <w:spacing w:line="240" w:lineRule="auto" w:before="0" w:after="80"/>
        <w:ind w:firstLine="720"/>
        <w:jc w:val="both"/>
      </w:pPr>
      <w:r>
        <w:rPr>
          <w:rFonts w:ascii="Georgia" w:hAnsi="Georgia" w:eastAsia="Georgia"/>
          <w:b w:val="0"/>
          <w:i w:val="0"/>
          <w:sz w:val="22"/>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p>
    <w:p>
      <w:pPr>
        <w:spacing w:line="240" w:lineRule="auto" w:before="0" w:after="80"/>
        <w:ind w:firstLine="720"/>
        <w:jc w:val="both"/>
      </w:pPr>
      <w:r>
        <w:rPr>
          <w:rFonts w:ascii="Georgia" w:hAnsi="Georgia" w:eastAsia="Georgia"/>
          <w:b w:val="0"/>
          <w:i w:val="0"/>
          <w:sz w:val="22"/>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p>
    <w:p>
      <w:pPr>
        <w:spacing w:line="240" w:lineRule="auto" w:before="0" w:after="80"/>
        <w:ind w:firstLine="720"/>
        <w:jc w:val="both"/>
      </w:pPr>
      <w:r>
        <w:rPr>
          <w:rFonts w:ascii="Georgia" w:hAnsi="Georgia" w:eastAsia="Georgia"/>
          <w:b w:val="0"/>
          <w:i w:val="0"/>
          <w:sz w:val="22"/>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pPr>
        <w:spacing w:line="240" w:lineRule="auto" w:before="0" w:after="80"/>
        <w:ind w:firstLine="720"/>
        <w:jc w:val="both"/>
      </w:pPr>
      <w:r>
        <w:rPr>
          <w:rFonts w:ascii="Georgia" w:hAnsi="Georgia" w:eastAsia="Georgia"/>
          <w:b w:val="0"/>
          <w:i w:val="0"/>
          <w:sz w:val="22"/>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p>
    <w:p>
      <w:pPr>
        <w:keepNext/>
        <w:keepLines/>
        <w:spacing w:before="0" w:after="80" w:line="240" w:lineRule="auto"/>
        <w:jc w:val="left"/>
      </w:pPr>
      <w:r>
        <w:rPr>
          <w:rFonts w:ascii="Georgia" w:hAnsi="Georgia" w:eastAsia="Georgia"/>
          <w:b w:val="0"/>
          <w:i/>
          <w:sz w:val="24"/>
        </w:rPr>
        <w:t>Hedging in Undergraduate Writing</w:t>
      </w:r>
    </w:p>
    <w:p>
      <w:pPr>
        <w:spacing w:line="240" w:lineRule="auto" w:before="0" w:after="80"/>
        <w:ind w:firstLine="720"/>
        <w:jc w:val="both"/>
      </w:pPr>
      <w:r>
        <w:rPr>
          <w:rFonts w:ascii="Georgia" w:hAnsi="Georgia" w:eastAsia="Georgia"/>
          <w:b w:val="0"/>
          <w:i w:val="0"/>
          <w:sz w:val="22"/>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p>
    <w:p>
      <w:pPr>
        <w:spacing w:line="240" w:lineRule="auto" w:before="0" w:after="80"/>
        <w:ind w:firstLine="720"/>
        <w:jc w:val="both"/>
      </w:pPr>
      <w:r>
        <w:rPr>
          <w:rFonts w:ascii="Georgia" w:hAnsi="Georgia" w:eastAsia="Georgia"/>
          <w:b w:val="0"/>
          <w:i w:val="0"/>
          <w:sz w:val="22"/>
        </w:rPr>
        <w:t xml:space="preserve">These studies leave two gaps for the present work. Only Khunasathitchai et al. examined abstracts specifically; the others analyzed discussion sections or full papers, where rhetorical space is wider. None is set in a Philippine L2 context.</w:t>
      </w:r>
    </w:p>
    <w:p>
      <w:pPr>
        <w:keepNext/>
        <w:keepLines/>
        <w:spacing w:before="0" w:after="80" w:line="240" w:lineRule="auto"/>
        <w:jc w:val="left"/>
      </w:pPr>
      <w:r>
        <w:rPr>
          <w:rFonts w:ascii="Georgia" w:hAnsi="Georgia" w:eastAsia="Georgia"/>
          <w:b w:val="0"/>
          <w:i/>
          <w:sz w:val="24"/>
        </w:rPr>
        <w:t>Disciplinary Variation in Scientific and Medical Writing</w:t>
      </w:r>
    </w:p>
    <w:p>
      <w:pPr>
        <w:spacing w:line="240" w:lineRule="auto" w:before="0" w:after="80"/>
        <w:ind w:firstLine="720"/>
        <w:jc w:val="both"/>
      </w:pPr>
      <w:r>
        <w:rPr>
          <w:rFonts w:ascii="Georgia" w:hAnsi="Georgia" w:eastAsia="Georgia"/>
          <w:b w:val="0"/>
          <w:i w:val="0"/>
          <w:sz w:val="22"/>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p>
    <w:p>
      <w:pPr>
        <w:spacing w:line="240" w:lineRule="auto" w:before="0" w:after="80"/>
        <w:ind w:firstLine="720"/>
        <w:jc w:val="both"/>
      </w:pPr>
      <w:r>
        <w:rPr>
          <w:rFonts w:ascii="Georgia" w:hAnsi="Georgia" w:eastAsia="Georgia"/>
          <w:b w:val="0"/>
          <w:i w:val="0"/>
          <w:sz w:val="22"/>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p>
    <w:p>
      <w:pPr>
        <w:keepNext/>
        <w:keepLines/>
        <w:spacing w:before="0" w:after="80" w:line="240" w:lineRule="auto"/>
        <w:jc w:val="left"/>
      </w:pPr>
      <w:r>
        <w:rPr>
          <w:rFonts w:ascii="Georgia" w:hAnsi="Georgia" w:eastAsia="Georgia"/>
          <w:b w:val="0"/>
          <w:i/>
          <w:sz w:val="24"/>
        </w:rPr>
        <w:t>Hedging in L2 and EFL Contexts</w:t>
      </w:r>
    </w:p>
    <w:p>
      <w:pPr>
        <w:spacing w:line="240" w:lineRule="auto" w:before="0" w:after="80"/>
        <w:ind w:firstLine="720"/>
        <w:jc w:val="both"/>
      </w:pPr>
      <w:r>
        <w:rPr>
          <w:rFonts w:ascii="Georgia" w:hAnsi="Georgia" w:eastAsia="Georgia"/>
          <w:b w:val="0"/>
          <w:i w:val="0"/>
          <w:sz w:val="22"/>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p>
    <w:p>
      <w:pPr>
        <w:spacing w:line="240" w:lineRule="auto" w:before="0" w:after="80"/>
        <w:ind w:firstLine="720"/>
        <w:jc w:val="both"/>
      </w:pPr>
      <w:r>
        <w:rPr>
          <w:rFonts w:ascii="Georgia" w:hAnsi="Georgia" w:eastAsia="Georgia"/>
          <w:b w:val="0"/>
          <w:i w:val="0"/>
          <w:sz w:val="22"/>
        </w:rPr>
        <w:t xml:space="preserve">Because this study does not measure English proficiency independently, observed patterns may reflect L2 constraints, disciplinary socialization, or both. The aim is a descriptive baseline, not a causal account.</w:t>
      </w:r>
    </w:p>
    <w:p>
      <w:pPr>
        <w:keepNext/>
        <w:keepLines/>
        <w:spacing w:before="0" w:after="80" w:line="240" w:lineRule="auto"/>
        <w:jc w:val="left"/>
      </w:pPr>
      <w:r>
        <w:rPr>
          <w:rFonts w:ascii="Georgia" w:hAnsi="Georgia" w:eastAsia="Georgia"/>
          <w:b w:val="0"/>
          <w:i/>
          <w:sz w:val="24"/>
        </w:rPr>
        <w:t>Hedging in Philippine Academic Writing Contexts</w:t>
      </w:r>
    </w:p>
    <w:p>
      <w:pPr>
        <w:spacing w:line="240" w:lineRule="auto" w:before="0" w:after="80"/>
        <w:ind w:firstLine="720"/>
        <w:jc w:val="both"/>
      </w:pPr>
      <w:r>
        <w:rPr>
          <w:rFonts w:ascii="Georgia" w:hAnsi="Georgia" w:eastAsia="Georgia"/>
          <w:b w:val="0"/>
          <w:i w:val="0"/>
          <w:sz w:val="22"/>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p>
    <w:p>
      <w:pPr>
        <w:spacing w:line="480" w:lineRule="auto" w:before="0" w:after="40"/>
        <w:ind w:firstLine="720"/>
        <w:jc w:val="both"/>
      </w:pPr>
      <w:r>
        <w:rPr>
          <w:rFonts w:ascii="Georgia" w:hAnsi="Georgia" w:eastAsia="Georgia"/>
          <w:b w:val="0"/>
          <w:i w:val="0"/>
          <w:sz w:val="22"/>
        </w:rPr>
        <w:t xml:space="preserve"/>
      </w:r>
    </w:p>
    <w:p>
      <w:pPr>
        <w:spacing w:line="480" w:lineRule="auto" w:before="0" w:after="40"/>
        <w:ind w:firstLine="720"/>
        <w:jc w:val="both"/>
      </w:pPr>
      <w:r>
        <w:rPr>
          <w:rFonts w:ascii="Georgia" w:hAnsi="Georgia" w:eastAsia="Georgia"/>
          <w:b w:val="0"/>
          <w:i w:val="0"/>
          <w:sz w:val="22"/>
        </w:rPr>
        <w:t xml:space="preserve"/>
      </w:r>
    </w:p>
    <w:p>
      <w:pPr>
        <w:spacing w:line="480" w:lineRule="auto" w:before="0" w:after="40"/>
        <w:ind w:firstLine="720"/>
        <w:jc w:val="both"/>
      </w:pPr>
      <w:r>
        <w:rPr>
          <w:rFonts w:ascii="Georgia" w:hAnsi="Georgia" w:eastAsia="Georgia"/>
          <w:b w:val="0"/>
          <w:i w:val="0"/>
          <w:sz w:val="22"/>
        </w:rPr>
        <w:t xml:space="preserve"/>
      </w:r>
    </w:p>
    <w:p>
      <w:pPr>
        <w:keepNext/>
        <w:keepLines/>
        <w:spacing w:before="0" w:after="80" w:line="240" w:lineRule="auto"/>
        <w:jc w:val="left"/>
      </w:pPr>
      <w:r>
        <w:rPr>
          <w:rFonts w:ascii="Georgia" w:hAnsi="Georgia" w:eastAsia="Georgia"/>
          <w:b w:val="0"/>
          <w:i/>
          <w:sz w:val="24"/>
        </w:rPr>
        <w:t>Disciplinary Variation in Abstracts and Undergraduate Theses</w:t>
      </w:r>
    </w:p>
    <w:p>
      <w:pPr>
        <w:spacing w:line="240" w:lineRule="auto" w:before="0" w:after="80"/>
        <w:ind w:firstLine="720"/>
        <w:jc w:val="both"/>
      </w:pPr>
      <w:r>
        <w:rPr>
          <w:rFonts w:ascii="Georgia" w:hAnsi="Georgia" w:eastAsia="Georgia"/>
          <w:b w:val="0"/>
          <w:i w:val="0"/>
          <w:sz w:val="22"/>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p>
    <w:p>
      <w:pPr>
        <w:spacing w:line="480" w:lineRule="auto" w:before="0" w:after="40"/>
        <w:ind w:firstLine="720"/>
        <w:jc w:val="both"/>
      </w:pPr>
      <w:r>
        <w:rPr>
          <w:rFonts w:ascii="Georgia" w:hAnsi="Georgia" w:eastAsia="Georgia"/>
          <w:b w:val="0"/>
          <w:i w:val="0"/>
          <w:sz w:val="22"/>
        </w:rPr>
        <w:t xml:space="preserve"/>
      </w:r>
    </w:p>
    <w:p>
      <w:pPr>
        <w:spacing w:line="240" w:lineRule="auto" w:before="0" w:after="80"/>
        <w:ind w:firstLine="720"/>
        <w:jc w:val="both"/>
      </w:pPr>
      <w:r>
        <w:rPr>
          <w:rFonts w:ascii="Georgia" w:hAnsi="Georgia" w:eastAsia="Georgia"/>
          <w:b w:val="0"/>
          <w:i w:val="0"/>
          <w:sz w:val="22"/>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p>
    <w:p>
      <w:pPr>
        <w:spacing w:line="240" w:lineRule="auto" w:before="0" w:after="80"/>
        <w:ind w:firstLine="720"/>
        <w:jc w:val="both"/>
      </w:pPr>
      <w:r>
        <w:rPr>
          <w:rFonts w:ascii="Georgia" w:hAnsi="Georgia" w:eastAsia="Georgia"/>
          <w:b w:val="0"/>
          <w:i w:val="0"/>
          <w:sz w:val="22"/>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p>
    <w:p>
      <w:pPr>
        <w:spacing w:line="480" w:lineRule="auto" w:before="0" w:after="40"/>
        <w:ind w:firstLine="720"/>
        <w:jc w:val="both"/>
      </w:pPr>
      <w:r>
        <w:rPr>
          <w:rFonts w:ascii="Georgia" w:hAnsi="Georgia" w:eastAsia="Georgia"/>
          <w:b w:val="0"/>
          <w:i w:val="0"/>
          <w:sz w:val="22"/>
        </w:rPr>
        <w:t xml:space="preserve"/>
      </w:r>
    </w:p>
    <w:p>
      <w:pPr>
        <w:keepNext/>
        <w:keepLines/>
        <w:spacing w:before="0" w:after="80" w:line="240" w:lineRule="auto"/>
        <w:jc w:val="left"/>
      </w:pPr>
      <w:r>
        <w:rPr>
          <w:rFonts w:ascii="Georgia" w:hAnsi="Georgia" w:eastAsia="Georgia"/>
          <w:b/>
          <w:i w:val="0"/>
          <w:sz w:val="24"/>
        </w:rPr>
        <w:t>STATEMENT OF THE PROBLEM</w:t>
      </w:r>
    </w:p>
    <w:p>
      <w:pPr>
        <w:spacing w:line="240" w:lineRule="auto" w:before="0" w:after="80"/>
        <w:ind w:firstLine="720"/>
        <w:jc w:val="both"/>
      </w:pPr>
      <w:r>
        <w:rPr>
          <w:rFonts w:ascii="Georgia" w:hAnsi="Georgia" w:eastAsia="Georgia"/>
          <w:b w:val="0"/>
          <w:i w:val="0"/>
          <w:sz w:val="22"/>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p>
    <w:p>
      <w:pPr>
        <w:spacing w:line="240" w:lineRule="auto" w:before="0" w:after="80"/>
        <w:ind w:firstLine="720"/>
        <w:jc w:val="both"/>
      </w:pPr>
      <w:r>
        <w:rPr>
          <w:rFonts w:ascii="Georgia" w:hAnsi="Georgia" w:eastAsia="Georgia"/>
          <w:b w:val="0"/>
          <w:i w:val="0"/>
          <w:sz w:val="22"/>
        </w:rPr>
        <w:t xml:space="preserve">This study maps hedging patterns in undergraduate thesis abstracts from Agriculture, Veterinary Medicine, and Biology at PSAU. It asks:</w:t>
      </w:r>
    </w:p>
    <w:p>
      <w:pPr>
        <w:spacing w:line="240" w:lineRule="auto" w:before="0" w:after="80"/>
        <w:jc w:val="both"/>
      </w:pPr>
      <w:r>
        <w:rPr>
          <w:rFonts w:ascii="Georgia" w:hAnsi="Georgia" w:eastAsia="Georgia"/>
          <w:b w:val="0"/>
          <w:i w:val="0"/>
          <w:sz w:val="22"/>
        </w:rPr>
        <w:t>1. What types of hedging devices appear in the undergraduate thesis abstracts across the three disciplines?</w:t>
      </w:r>
    </w:p>
    <w:p>
      <w:pPr>
        <w:spacing w:line="240" w:lineRule="auto" w:before="0" w:after="80"/>
        <w:jc w:val="both"/>
      </w:pPr>
      <w:r>
        <w:rPr>
          <w:rFonts w:ascii="Georgia" w:hAnsi="Georgia" w:eastAsia="Georgia"/>
          <w:b w:val="0"/>
          <w:i w:val="0"/>
          <w:sz w:val="22"/>
        </w:rPr>
        <w:t>2. How does the frequency of hedging devices vary across Agriculture, Veterinary Medicine, and Biology programs?</w:t>
      </w:r>
    </w:p>
    <w:p>
      <w:pPr>
        <w:spacing w:line="240" w:lineRule="auto" w:before="0" w:after="80"/>
        <w:jc w:val="both"/>
      </w:pPr>
      <w:r>
        <w:rPr>
          <w:rFonts w:ascii="Georgia" w:hAnsi="Georgia" w:eastAsia="Georgia"/>
          <w:b w:val="0"/>
          <w:i w:val="0"/>
          <w:sz w:val="22"/>
        </w:rPr>
        <w:t>3. Among the hedging devices identified, what rhetorical functions do they serve?</w:t>
      </w:r>
    </w:p>
    <w:p>
      <w:pPr>
        <w:spacing w:line="240" w:lineRule="auto" w:before="0" w:after="80"/>
        <w:jc w:val="both"/>
      </w:pPr>
      <w:r>
        <w:rPr>
          <w:rFonts w:ascii="Georgia" w:hAnsi="Georgia" w:eastAsia="Georgia"/>
          <w:b w:val="0"/>
          <w:i w:val="0"/>
          <w:sz w:val="22"/>
        </w:rPr>
        <w:t>4. What do the frequency and functional patterns suggest about the construction of epistemic stance through hedging among developing researchers?</w:t>
      </w:r>
    </w:p>
    <w:p>
      <w:pPr>
        <w:keepNext/>
        <w:keepLines/>
        <w:spacing w:before="0" w:after="80" w:line="240" w:lineRule="auto"/>
        <w:jc w:val="left"/>
      </w:pPr>
      <w:r>
        <w:rPr>
          <w:rFonts w:ascii="Georgia" w:hAnsi="Georgia" w:eastAsia="Georgia"/>
          <w:b/>
          <w:i w:val="0"/>
          <w:sz w:val="24"/>
        </w:rPr>
        <w:t>RESEARCH FRAMEWORK</w:t>
      </w:r>
    </w:p>
    <w:p>
      <w:pPr>
        <w:spacing w:line="240" w:lineRule="auto" w:before="0" w:after="80"/>
        <w:ind w:firstLine="720"/>
        <w:jc w:val="both"/>
      </w:pPr>
      <w:r>
        <w:rPr>
          <w:rFonts w:ascii="Georgia" w:hAnsi="Georgia" w:eastAsia="Georgia"/>
          <w:b w:val="0"/>
          <w:i w:val="0"/>
          <w:sz w:val="22"/>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p>
    <w:p>
      <w:pPr>
        <w:spacing w:line="240" w:lineRule="auto" w:before="0" w:after="80"/>
        <w:ind w:firstLine="720"/>
        <w:jc w:val="both"/>
      </w:pPr>
      <w:r>
        <w:rPr>
          <w:rFonts w:ascii="Georgia" w:hAnsi="Georgia" w:eastAsia="Georgia"/>
          <w:b w:val="0"/>
          <w:i w:val="0"/>
          <w:sz w:val="22"/>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p>
    <w:p>
      <w:pPr>
        <w:spacing w:line="240" w:lineRule="auto" w:before="0" w:after="80"/>
        <w:ind w:firstLine="720"/>
        <w:jc w:val="both"/>
      </w:pPr>
      <w:r>
        <w:rPr>
          <w:rFonts w:ascii="Georgia" w:hAnsi="Georgia" w:eastAsia="Georgia"/>
          <w:b w:val="0"/>
          <w:i w:val="0"/>
          <w:sz w:val="22"/>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p>
    <w:p>
      <w:pPr>
        <w:spacing w:line="240" w:lineRule="auto" w:before="0" w:after="80"/>
        <w:ind w:firstLine="720"/>
        <w:jc w:val="both"/>
      </w:pPr>
      <w:r>
        <w:rPr>
          <w:rFonts w:ascii="Georgia" w:hAnsi="Georgia" w:eastAsia="Georgia"/>
          <w:b w:val="0"/>
          <w:i w:val="0"/>
          <w:sz w:val="22"/>
        </w:rPr>
        <w:t>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p>
    <w:p>
      <w:pPr>
        <w:spacing w:before="0" w:after="80" w:line="240" w:lineRule="auto"/>
        <w:jc w:val="center"/>
      </w:pPr>
      <w:r>
        <w:rPr>
          <w:rFonts w:ascii="Georgia" w:hAnsi="Georgia" w:eastAsia="Georgia"/>
          <w:b/>
          <w:i w:val="0"/>
          <w:sz w:val="22"/>
        </w:rPr>
        <w:t>Figure 1</w:t>
      </w:r>
    </w:p>
    <w:p>
      <w:pPr>
        <w:spacing w:after="80" w:before="0" w:line="240" w:lineRule="auto"/>
        <w:jc w:val="center"/>
      </w:pPr>
      <w:r>
        <w:rPr>
          <w:rFonts w:ascii="Georgia" w:hAnsi="Georgia" w:eastAsia="Georgia"/>
          <w:b w:val="0"/>
          <w:i/>
          <w:sz w:val="22"/>
        </w:rPr>
        <w:t>Conceptual Framework of the Study</w:t>
      </w:r>
    </w:p>
    <w:p>
      <w:pPr>
        <w:spacing w:before="0" w:after="40"/>
        <w:jc w:val="center"/>
      </w:pPr>
      <w:r>
        <w:drawing>
          <wp:inline xmlns:a="http://schemas.openxmlformats.org/drawingml/2006/main" xmlns:pic="http://schemas.openxmlformats.org/drawingml/2006/pictur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1"/>
                    <a:stretch>
                      <a:fillRect/>
                    </a:stretch>
                  </pic:blipFill>
                  <pic:spPr>
                    <a:xfrm>
                      <a:off x="0" y="0"/>
                      <a:ext cx="5029200" cy="3981450"/>
                    </a:xfrm>
                    <a:prstGeom prst="rect"/>
                  </pic:spPr>
                </pic:pic>
              </a:graphicData>
            </a:graphic>
          </wp:inline>
        </w:drawing>
      </w:r>
    </w:p>
    <w:p>
      <w:pPr>
        <w:keepNext/>
        <w:keepLines/>
        <w:spacing w:before="0" w:after="80" w:line="240" w:lineRule="auto"/>
        <w:jc w:val="left"/>
      </w:pPr>
      <w:r>
        <w:rPr>
          <w:rFonts w:ascii="Georgia" w:hAnsi="Georgia" w:eastAsia="Georgia"/>
          <w:b/>
          <w:i w:val="0"/>
          <w:sz w:val="24"/>
        </w:rPr>
        <w:t>SIGNIFICANCE OF THE STUDY</w:t>
      </w:r>
    </w:p>
    <w:p>
      <w:pPr>
        <w:spacing w:line="240" w:lineRule="auto" w:before="0" w:after="80"/>
        <w:ind w:firstLine="720"/>
        <w:jc w:val="both"/>
      </w:pPr>
      <w:r>
        <w:rPr>
          <w:rFonts w:ascii="Georgia" w:hAnsi="Georgia" w:eastAsia="Georgia"/>
          <w:b w:val="0"/>
          <w:i w:val="0"/>
          <w:sz w:val="22"/>
        </w:rPr>
        <w:t xml:space="preserve">For writing instructors and thesis advisers at PSAU, the study provides an empirical baseline of how developing researchers in three applied life sciences programs currently manage uncertainty in abstracts. That baseline can support more targeted feedback than generic advice to “be cautious.”</w:t>
      </w:r>
    </w:p>
    <w:p>
      <w:pPr>
        <w:spacing w:line="240" w:lineRule="auto" w:before="0" w:after="80"/>
        <w:ind w:firstLine="720"/>
        <w:jc w:val="both"/>
      </w:pPr>
      <w:r>
        <w:rPr>
          <w:rFonts w:ascii="Georgia" w:hAnsi="Georgia" w:eastAsia="Georgia"/>
          <w:b/>
          <w:i w:val="0"/>
          <w:sz w:val="22"/>
        </w:rPr>
        <w:t xml:space="preserve">For academic writing researchers, it adds Philippine applied-science abstract data to a body of work that has drawn mainly from other regional and disciplinary settings.</w:t>
      </w:r>
      <w:r>
        <w:rPr>
          <w:rFonts w:ascii="Georgia" w:hAnsi="Georgia" w:eastAsia="Georgia"/>
          <w:b w:val="0"/>
          <w:i w:val="0"/>
          <w:sz w:val="22"/>
        </w:rPr>
        <w:t/>
      </w:r>
    </w:p>
    <w:p>
      <w:pPr>
        <w:spacing w:line="240" w:lineRule="auto" w:before="0" w:after="80"/>
        <w:ind w:firstLine="720"/>
        <w:jc w:val="both"/>
      </w:pPr>
      <w:r>
        <w:rPr>
          <w:rFonts w:ascii="Georgia" w:hAnsi="Georgia" w:eastAsia="Georgia"/>
          <w:b/>
          <w:i w:val="0"/>
          <w:sz w:val="22"/>
        </w:rPr>
        <w:t xml:space="preserve">For the BAELS program, it shows that corpus-assisted discourse analysis is a viable undergraduate thesis methodology and yields findings usable in local writing pedagogy.</w:t>
      </w:r>
      <w:r>
        <w:rPr>
          <w:rFonts w:ascii="Georgia" w:hAnsi="Georgia" w:eastAsia="Georgia"/>
          <w:b w:val="0"/>
          <w:i w:val="0"/>
          <w:sz w:val="22"/>
        </w:rPr>
        <w:t/>
      </w:r>
    </w:p>
    <w:p>
      <w:pPr>
        <w:spacing w:line="240" w:lineRule="auto" w:before="0" w:after="80"/>
        <w:ind w:firstLine="720"/>
        <w:jc w:val="both"/>
      </w:pPr>
      <w:r>
        <w:rPr>
          <w:rFonts w:ascii="Georgia" w:hAnsi="Georgia" w:eastAsia="Georgia"/>
          <w:b/>
          <w:i w:val="0"/>
          <w:sz w:val="22"/>
        </w:rPr>
        <w:t xml:space="preserve">For future researchers, the sampling design, coding decision rules, and false-positive log offer a replicable protocol for similar corpus studies.</w:t>
      </w:r>
      <w:r>
        <w:rPr>
          <w:rFonts w:ascii="Georgia" w:hAnsi="Georgia" w:eastAsia="Georgia"/>
          <w:b w:val="0"/>
          <w:i w:val="0"/>
          <w:sz w:val="22"/>
        </w:rPr>
        <w:t/>
      </w:r>
    </w:p>
    <w:p>
      <w:pPr>
        <w:spacing w:line="480" w:lineRule="auto" w:before="0" w:after="40"/>
        <w:ind w:firstLine="720"/>
        <w:jc w:val="both"/>
      </w:pPr>
      <w:r>
        <w:rPr>
          <w:rFonts w:ascii="Georgia" w:hAnsi="Georgia" w:eastAsia="Georgia"/>
          <w:b/>
          <w:i w:val="0"/>
          <w:sz w:val="22"/>
        </w:rPr>
        <w:t xml:space="preserve"/>
      </w:r>
      <w:r>
        <w:rPr>
          <w:rFonts w:ascii="Georgia" w:hAnsi="Georgia" w:eastAsia="Georgia"/>
          <w:b w:val="0"/>
          <w:i w:val="0"/>
          <w:sz w:val="22"/>
        </w:rPr>
        <w:t/>
      </w:r>
    </w:p>
    <w:p>
      <w:pPr>
        <w:keepNext/>
        <w:keepLines/>
        <w:spacing w:before="0" w:after="80" w:line="240" w:lineRule="auto"/>
        <w:jc w:val="left"/>
      </w:pPr>
      <w:r>
        <w:rPr>
          <w:rFonts w:ascii="Georgia" w:hAnsi="Georgia" w:eastAsia="Georgia"/>
          <w:b/>
          <w:i w:val="0"/>
          <w:sz w:val="24"/>
        </w:rPr>
        <w:t>SCOPE AND LIMITATIONS</w:t>
      </w:r>
    </w:p>
    <w:p>
      <w:pPr>
        <w:spacing w:line="240" w:lineRule="auto" w:before="0" w:after="80"/>
        <w:ind w:firstLine="720"/>
        <w:jc w:val="both"/>
      </w:pPr>
      <w:r>
        <w:rPr>
          <w:rFonts w:ascii="Georgia" w:hAnsi="Georgia" w:eastAsia="Georgia"/>
          <w:b w:val="0"/>
          <w:i w:val="0"/>
          <w:sz w:val="22"/>
        </w:rPr>
        <w:t>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p>
    <w:p>
      <w:pPr>
        <w:spacing w:line="240" w:lineRule="auto" w:before="0" w:after="80"/>
        <w:ind w:firstLine="720"/>
        <w:jc w:val="both"/>
      </w:pPr>
      <w:r>
        <w:rPr>
          <w:rFonts w:ascii="Georgia" w:hAnsi="Georgia" w:eastAsia="Georgia"/>
          <w:b w:val="0"/>
          <w:i w:val="0"/>
          <w:sz w:val="22"/>
        </w:rPr>
        <w:t>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46.7%, likely reflecting the small pilot sample size (4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p>
    <w:p>
      <w:pPr>
        <w:spacing w:line="240" w:lineRule="auto" w:before="0" w:after="80"/>
        <w:ind w:firstLine="720"/>
        <w:jc w:val="both"/>
      </w:pPr>
      <w:r>
        <w:rPr>
          <w:rFonts w:ascii="Georgia" w:hAnsi="Georgia" w:eastAsia="Georgia"/>
          <w:b w:val="0"/>
          <w:i w:val="0"/>
          <w:sz w:val="22"/>
        </w:rPr>
        <w:t>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p>
    <w:p>
      <w:pPr>
        <w:spacing w:line="240" w:lineRule="auto" w:before="0" w:after="80"/>
        <w:ind w:firstLine="720"/>
        <w:jc w:val="both"/>
      </w:pPr>
      <w:r>
        <w:rPr>
          <w:rFonts w:ascii="Georgia" w:hAnsi="Georgia" w:eastAsia="Georgia"/>
          <w:b w:val="0"/>
          <w:i w:val="0"/>
          <w:sz w:val="22"/>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booster count was performed only on the 28 zero-hedge abstracts to check whether the absence of hedges coincided with assertive language; a full booster analysis across the corpus was not undertaken. While credibility in academic writing involves a balance of caution and certainty, this study focuses specifically on the management of uncertainty, which is often the more challenging rhetorical skill for developing L2 researchers to acquire.</w:t>
      </w:r>
    </w:p>
    <w:p>
      <w:pPr>
        <w:spacing w:line="240" w:lineRule="auto" w:before="0" w:after="80"/>
        <w:ind w:firstLine="720"/>
        <w:jc w:val="both"/>
      </w:pPr>
      <w:r>
        <w:t>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60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pPr>
        <w:spacing w:line="240" w:lineRule="auto" w:before="0" w:after="80"/>
        <w:ind w:firstLine="720"/>
        <w:jc w:val="both"/>
      </w:pPr>
      <w:r>
        <w:t>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pPr>
        <w:spacing w:line="240" w:lineRule="auto" w:before="0" w:after="80"/>
        <w:ind w:firstLine="720"/>
        <w:jc w:val="both"/>
      </w:pPr>
      <w:r>
        <w:rPr>
          <w:rFonts w:ascii="Georgia" w:hAnsi="Georgia" w:eastAsia="Georgia"/>
          <w:b w:val="0"/>
          <w:i w:val="0"/>
          <w:sz w:val="22"/>
        </w:rPr>
        <w:t>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p>
    <w:p>
      <w:pPr>
        <w:keepNext/>
        <w:keepLines/>
        <w:spacing w:before="0" w:after="80" w:line="240" w:lineRule="auto"/>
        <w:jc w:val="left"/>
      </w:pPr>
      <w:r>
        <w:rPr>
          <w:rFonts w:ascii="Georgia" w:hAnsi="Georgia" w:eastAsia="Georgia"/>
          <w:b/>
          <w:i w:val="0"/>
          <w:sz w:val="24"/>
        </w:rPr>
        <w:t>DEFINITION OF TERMS</w:t>
      </w:r>
    </w:p>
    <w:p>
      <w:pPr>
        <w:spacing w:line="240" w:lineRule="auto" w:before="0" w:after="80"/>
        <w:ind w:firstLine="720"/>
        <w:jc w:val="both"/>
      </w:pPr>
      <w:r>
        <w:rPr>
          <w:rFonts w:ascii="Georgia" w:hAnsi="Georgia" w:eastAsia="Georgia"/>
          <w:b w:val="0"/>
          <w:i w:val="0"/>
          <w:sz w:val="22"/>
        </w:rPr>
        <w:t>The following terms are defined conceptually and operationally to ensure consistency throughout the study:</w:t>
      </w:r>
    </w:p>
    <w:p>
      <w:pPr>
        <w:spacing w:line="240" w:lineRule="auto" w:before="0" w:after="80"/>
        <w:ind w:firstLine="720"/>
        <w:jc w:val="both"/>
      </w:pPr>
      <w:r>
        <w:rPr>
          <w:rFonts w:ascii="Georgia" w:hAnsi="Georgia" w:eastAsia="Georgia"/>
          <w:b/>
          <w:i w:val="0"/>
          <w:sz w:val="22"/>
        </w:rPr>
        <w:t xml:space="preserve">Abstract, </w:t>
      </w:r>
      <w:r>
        <w:rPr>
          <w:rFonts w:ascii="Georgia" w:hAnsi="Georgia" w:eastAsia="Georgia"/>
          <w:b w:val="0"/>
          <w:i w:val="0"/>
          <w:sz w:val="22"/>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pPr>
        <w:spacing w:line="240" w:lineRule="auto" w:before="0" w:after="80"/>
        <w:ind w:firstLine="720"/>
        <w:jc w:val="both"/>
      </w:pPr>
      <w:r>
        <w:rPr>
          <w:rFonts w:ascii="Georgia" w:hAnsi="Georgia" w:eastAsia="Georgia"/>
          <w:b/>
          <w:i w:val="0"/>
          <w:sz w:val="22"/>
        </w:rPr>
        <w:t xml:space="preserve">Adverbial Hedges, </w:t>
      </w:r>
      <w:r>
        <w:rPr>
          <w:rFonts w:ascii="Georgia" w:hAnsi="Georgia" w:eastAsia="Georgia"/>
          <w:b w:val="0"/>
          <w:i w:val="0"/>
          <w:sz w:val="22"/>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pPr>
        <w:spacing w:line="240" w:lineRule="auto" w:before="0" w:after="80"/>
        <w:ind w:firstLine="720"/>
        <w:jc w:val="both"/>
      </w:pPr>
      <w:r>
        <w:rPr>
          <w:rFonts w:ascii="Georgia" w:hAnsi="Georgia" w:eastAsia="Georgia"/>
          <w:b/>
          <w:i w:val="0"/>
          <w:sz w:val="22"/>
        </w:rPr>
        <w:t xml:space="preserve">Applied Life Sciences, </w:t>
      </w:r>
      <w:r>
        <w:rPr>
          <w:rFonts w:ascii="Georgia" w:hAnsi="Georgia" w:eastAsia="Georgia"/>
          <w:b w:val="0"/>
          <w:i w:val="0"/>
          <w:sz w:val="22"/>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pPr>
        <w:spacing w:line="240" w:lineRule="auto" w:before="0" w:after="80"/>
        <w:ind w:firstLine="720"/>
        <w:jc w:val="both"/>
      </w:pPr>
      <w:r>
        <w:rPr>
          <w:rFonts w:ascii="Georgia" w:hAnsi="Georgia" w:eastAsia="Georgia"/>
          <w:b/>
          <w:i w:val="0"/>
          <w:sz w:val="22"/>
        </w:rPr>
        <w:t xml:space="preserve">Claim Responsibility, </w:t>
      </w:r>
      <w:r>
        <w:rPr>
          <w:rFonts w:ascii="Georgia" w:hAnsi="Georgia" w:eastAsia="Georgia"/>
          <w:b w:val="0"/>
          <w:i w:val="0"/>
          <w:sz w:val="22"/>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pPr>
        <w:spacing w:line="240" w:lineRule="auto" w:before="0" w:after="80"/>
        <w:ind w:firstLine="720"/>
        <w:jc w:val="both"/>
      </w:pPr>
      <w:r>
        <w:rPr>
          <w:rFonts w:ascii="Georgia" w:hAnsi="Georgia" w:eastAsia="Georgia"/>
          <w:b/>
          <w:i w:val="0"/>
          <w:sz w:val="22"/>
        </w:rPr>
        <w:t xml:space="preserve">Clause-Level Hedges, </w:t>
      </w:r>
      <w:r>
        <w:rPr>
          <w:rFonts w:ascii="Georgia" w:hAnsi="Georgia" w:eastAsia="Georgia"/>
          <w:b w:val="0"/>
          <w:i w:val="0"/>
          <w:sz w:val="22"/>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pPr>
        <w:spacing w:line="240" w:lineRule="auto" w:before="0" w:after="80"/>
        <w:ind w:firstLine="720"/>
        <w:jc w:val="both"/>
      </w:pPr>
      <w:r>
        <w:rPr>
          <w:rFonts w:ascii="Georgia" w:hAnsi="Georgia" w:eastAsia="Georgia"/>
          <w:b/>
          <w:i w:val="0"/>
          <w:sz w:val="22"/>
        </w:rPr>
        <w:t xml:space="preserve">Corpus-Assisted Discourse Analysis, </w:t>
      </w:r>
      <w:r>
        <w:rPr>
          <w:rFonts w:ascii="Georgia" w:hAnsi="Georgia" w:eastAsia="Georgia"/>
          <w:b w:val="0"/>
          <w:i w:val="0"/>
          <w:sz w:val="22"/>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pPr>
        <w:spacing w:line="240" w:lineRule="auto" w:before="0" w:after="80"/>
        <w:ind w:firstLine="720"/>
        <w:jc w:val="both"/>
      </w:pPr>
      <w:r>
        <w:rPr>
          <w:rFonts w:ascii="Georgia" w:hAnsi="Georgia" w:eastAsia="Georgia"/>
          <w:b/>
          <w:i w:val="0"/>
          <w:sz w:val="22"/>
        </w:rPr>
        <w:t xml:space="preserve">Disciplinary Variation, </w:t>
      </w:r>
      <w:r>
        <w:rPr>
          <w:rFonts w:ascii="Georgia" w:hAnsi="Georgia" w:eastAsia="Georgia"/>
          <w:b w:val="0"/>
          <w:i w:val="0"/>
          <w:sz w:val="22"/>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pPr>
        <w:spacing w:line="240" w:lineRule="auto" w:before="0" w:after="80"/>
        <w:ind w:firstLine="720"/>
        <w:jc w:val="both"/>
      </w:pPr>
      <w:r>
        <w:rPr>
          <w:rFonts w:ascii="Georgia" w:hAnsi="Georgia" w:eastAsia="Georgia"/>
          <w:b/>
          <w:i w:val="0"/>
          <w:sz w:val="22"/>
        </w:rPr>
        <w:t xml:space="preserve">Epistemic Stance, </w:t>
      </w:r>
      <w:r>
        <w:rPr>
          <w:rFonts w:ascii="Georgia" w:hAnsi="Georgia" w:eastAsia="Georgia"/>
          <w:b w:val="0"/>
          <w:i w:val="0"/>
          <w:sz w:val="22"/>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p>
    <w:p>
      <w:pPr>
        <w:spacing w:line="240" w:lineRule="auto" w:before="0" w:after="80"/>
        <w:ind w:firstLine="720"/>
        <w:jc w:val="both"/>
      </w:pPr>
      <w:r>
        <w:rPr>
          <w:rFonts w:ascii="Georgia" w:hAnsi="Georgia" w:eastAsia="Georgia"/>
          <w:b/>
          <w:i w:val="0"/>
          <w:sz w:val="22"/>
        </w:rPr>
        <w:t xml:space="preserve">Hedge Function, </w:t>
      </w:r>
      <w:r>
        <w:rPr>
          <w:rFonts w:ascii="Georgia" w:hAnsi="Georgia" w:eastAsia="Georgia"/>
          <w:b w:val="0"/>
          <w:i w:val="0"/>
          <w:sz w:val="22"/>
        </w:rPr>
        <w:t>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p>
    <w:p>
      <w:pPr>
        <w:spacing w:line="240" w:lineRule="auto" w:before="0" w:after="80"/>
        <w:ind w:firstLine="720"/>
        <w:jc w:val="both"/>
      </w:pPr>
      <w:r>
        <w:rPr>
          <w:rFonts w:ascii="Georgia" w:hAnsi="Georgia" w:eastAsia="Georgia"/>
          <w:b/>
          <w:i w:val="0"/>
          <w:sz w:val="22"/>
        </w:rPr>
        <w:t xml:space="preserve">Hedging, </w:t>
      </w:r>
      <w:r>
        <w:rPr>
          <w:rFonts w:ascii="Georgia" w:hAnsi="Georgia" w:eastAsia="Georgia"/>
          <w:b w:val="0"/>
          <w:i w:val="0"/>
          <w:sz w:val="22"/>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pPr>
        <w:spacing w:line="240" w:lineRule="auto" w:before="0" w:after="80"/>
        <w:ind w:firstLine="720"/>
        <w:jc w:val="both"/>
      </w:pPr>
      <w:r>
        <w:rPr>
          <w:rFonts w:ascii="Georgia" w:hAnsi="Georgia" w:eastAsia="Georgia"/>
          <w:b/>
          <w:i w:val="0"/>
          <w:sz w:val="22"/>
        </w:rPr>
        <w:t xml:space="preserve">Lexical Hedges, </w:t>
      </w:r>
      <w:r>
        <w:rPr>
          <w:rFonts w:ascii="Georgia" w:hAnsi="Georgia" w:eastAsia="Georgia"/>
          <w:b w:val="0"/>
          <w:i w:val="0"/>
          <w:sz w:val="22"/>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line="240" w:lineRule="auto" w:before="0" w:after="80"/>
        <w:ind w:firstLine="720"/>
        <w:jc w:val="both"/>
      </w:pPr>
      <w:r>
        <w:rPr>
          <w:rFonts w:ascii="Georgia" w:hAnsi="Georgia" w:eastAsia="Georgia"/>
          <w:b/>
          <w:i w:val="0"/>
          <w:sz w:val="22"/>
        </w:rPr>
        <w:t xml:space="preserve">Modal Verbs, </w:t>
      </w:r>
      <w:r>
        <w:rPr>
          <w:rFonts w:ascii="Georgia" w:hAnsi="Georgia" w:eastAsia="Georgia"/>
          <w:b w:val="0"/>
          <w:i w:val="0"/>
          <w:sz w:val="22"/>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pPr>
        <w:spacing w:line="240" w:lineRule="auto" w:before="0" w:after="80"/>
        <w:ind w:firstLine="720"/>
        <w:jc w:val="both"/>
      </w:pPr>
      <w:r>
        <w:rPr>
          <w:rFonts w:ascii="Georgia" w:hAnsi="Georgia" w:eastAsia="Georgia"/>
          <w:b/>
          <w:i w:val="0"/>
          <w:sz w:val="22"/>
        </w:rPr>
        <w:t xml:space="preserve">Normalized Frequency, </w:t>
      </w:r>
      <w:r>
        <w:rPr>
          <w:rFonts w:ascii="Georgia" w:hAnsi="Georgia" w:eastAsia="Georgia"/>
          <w:b w:val="0"/>
          <w:i w:val="0"/>
          <w:sz w:val="22"/>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line="240" w:lineRule="auto" w:before="0" w:after="80"/>
        <w:ind w:firstLine="720"/>
        <w:jc w:val="both"/>
      </w:pPr>
      <w:r>
        <w:rPr>
          <w:rFonts w:ascii="Georgia" w:hAnsi="Georgia" w:eastAsia="Georgia"/>
          <w:b/>
          <w:i w:val="0"/>
          <w:sz w:val="22"/>
        </w:rPr>
        <w:t xml:space="preserve">Pro Forma Hedging, </w:t>
      </w:r>
      <w:r>
        <w:rPr>
          <w:rFonts w:ascii="Georgia" w:hAnsi="Georgia" w:eastAsia="Georgia"/>
          <w:b w:val="0"/>
          <w:i w:val="0"/>
          <w:sz w:val="22"/>
        </w:rPr>
        <w:t>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p>
    <w:p>
      <w:pPr>
        <w:spacing w:after="40" w:before="0"/>
        <w:sectPr>
          <w:headerReference w:type="default" r:id="rId9"/>
          <w:headerReference w:type="first" r:id="rId10"/>
          <w:pgSz w:w="11906" w:h="16838"/>
          <w:pgMar w:top="1440" w:right="1440" w:bottom="1440" w:left="2160" w:header="720" w:footer="720" w:gutter="0"/>
          <w:cols w:space="720"/>
          <w:titlePg/>
          <w:docGrid w:linePitch="360"/>
        </w:sectPr>
      </w:pP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keepNext/>
        <w:keepLines/>
        <w:spacing w:before="0" w:after="80" w:line="240" w:lineRule="auto"/>
        <w:jc w:val="center"/>
      </w:pPr>
      <w:r>
        <w:rPr>
          <w:rFonts w:ascii="Georgia" w:hAnsi="Georgia" w:eastAsia="Georgia"/>
          <w:b/>
          <w:i w:val="0"/>
          <w:sz w:val="28"/>
        </w:rPr>
        <w:t>METHODOLOGY</w:t>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spacing w:line="240" w:lineRule="auto" w:before="0" w:after="80"/>
        <w:ind w:firstLine="720"/>
        <w:jc w:val="both"/>
      </w:pPr>
      <w:r>
        <w:rPr>
          <w:rFonts w:ascii="Georgia" w:hAnsi="Georgia" w:eastAsia="Georgia"/>
          <w:b w:val="0"/>
          <w:i w:val="0"/>
          <w:sz w:val="22"/>
        </w:rPr>
        <w:t>This chapter describes the research design, institutional context, data collection process, and corpus selection for the study. Each methodological decision was justified by the nature of the research questions and the practical constraints of an undergraduate thesis.</w:t>
      </w:r>
    </w:p>
    <w:p>
      <w:pPr>
        <w:keepNext/>
        <w:keepLines/>
        <w:spacing w:before="0" w:after="80" w:line="240" w:lineRule="auto"/>
        <w:jc w:val="left"/>
      </w:pPr>
      <w:r>
        <w:rPr>
          <w:rFonts w:ascii="Georgia" w:hAnsi="Georgia" w:eastAsia="Georgia"/>
          <w:b/>
          <w:i w:val="0"/>
          <w:sz w:val="24"/>
        </w:rPr>
        <w:t>RESEARCH CONTEXT</w:t>
      </w:r>
    </w:p>
    <w:p>
      <w:pPr>
        <w:spacing w:line="240" w:lineRule="auto" w:before="0" w:after="80"/>
        <w:ind w:firstLine="720"/>
        <w:jc w:val="both"/>
      </w:pPr>
      <w:r>
        <w:rPr>
          <w:rFonts w:ascii="Georgia" w:hAnsi="Georgia" w:eastAsia="Georgia"/>
          <w:b w:val="0"/>
          <w:i w:val="0"/>
          <w:sz w:val="22"/>
        </w:rPr>
        <w:t>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p>
    <w:p>
      <w:pPr>
        <w:spacing w:line="240" w:lineRule="auto" w:before="0" w:after="80"/>
        <w:ind w:firstLine="720"/>
        <w:jc w:val="both"/>
      </w:pPr>
      <w:r>
        <w:rPr>
          <w:rFonts w:ascii="Georgia" w:hAnsi="Georgia" w:eastAsia="Georgia"/>
          <w:b w:val="0"/>
          <w:i w:val="0"/>
          <w:sz w:val="22"/>
        </w:rPr>
        <w:t>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p>
    <w:p>
      <w:pPr>
        <w:spacing w:line="240" w:lineRule="auto" w:before="0" w:after="80"/>
        <w:ind w:firstLine="720"/>
        <w:jc w:val="both"/>
      </w:pPr>
      <w:r>
        <w:rPr>
          <w:rFonts w:ascii="Georgia" w:hAnsi="Georgia" w:eastAsia="Georgia"/>
          <w:b w:val="0"/>
          <w:i w:val="0"/>
          <w:sz w:val="22"/>
        </w:rPr>
        <w:t>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p>
    <w:p>
      <w:pPr>
        <w:keepNext/>
        <w:keepLines/>
        <w:spacing w:before="0" w:after="80" w:line="240" w:lineRule="auto"/>
        <w:jc w:val="left"/>
      </w:pPr>
      <w:r>
        <w:rPr>
          <w:rFonts w:ascii="Georgia" w:hAnsi="Georgia" w:eastAsia="Georgia"/>
          <w:b/>
          <w:i w:val="0"/>
          <w:sz w:val="24"/>
        </w:rPr>
        <w:t>RESEARCH DESIGN</w:t>
      </w:r>
    </w:p>
    <w:p>
      <w:pPr>
        <w:spacing w:line="240" w:lineRule="auto" w:before="0" w:after="80"/>
        <w:ind w:firstLine="720"/>
        <w:jc w:val="both"/>
      </w:pPr>
      <w:r>
        <w:rPr>
          <w:rFonts w:ascii="Georgia" w:hAnsi="Georgia" w:eastAsia="Georgia"/>
          <w:b w:val="0"/>
          <w:i w:val="0"/>
          <w:sz w:val="22"/>
        </w:rPr>
        <w:t>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pPr>
        <w:keepNext/>
        <w:keepLines/>
        <w:spacing w:before="0" w:after="80" w:line="240" w:lineRule="auto"/>
        <w:jc w:val="left"/>
      </w:pPr>
      <w:r>
        <w:rPr>
          <w:rFonts w:ascii="Georgia" w:hAnsi="Georgia" w:eastAsia="Georgia"/>
          <w:b/>
          <w:i w:val="0"/>
          <w:sz w:val="24"/>
        </w:rPr>
        <w:t>RESEARCH PROCESS</w:t>
      </w:r>
    </w:p>
    <w:p>
      <w:pPr>
        <w:spacing w:line="240" w:lineRule="auto" w:before="0" w:after="80"/>
        <w:ind w:firstLine="720"/>
        <w:jc w:val="both"/>
      </w:pPr>
      <w:r>
        <w:rPr>
          <w:rFonts w:ascii="Georgia" w:hAnsi="Georgia" w:eastAsia="Georgia"/>
          <w:b w:val="0"/>
          <w:i w:val="0"/>
          <w:sz w:val="22"/>
        </w:rPr>
        <w:t>The study proceeded through the following steps:</w:t>
      </w:r>
    </w:p>
    <w:p>
      <w:pPr>
        <w:spacing w:line="240" w:lineRule="auto" w:before="0" w:after="80"/>
        <w:ind w:firstLine="720"/>
        <w:jc w:val="both"/>
      </w:pPr>
      <w:r>
        <w:rPr>
          <w:rFonts w:ascii="Georgia" w:hAnsi="Georgia" w:eastAsia="Georgia"/>
          <w:b/>
          <w:i w:val="0"/>
          <w:sz w:val="22"/>
        </w:rPr>
        <w:t xml:space="preserve">a. Requesting Permission. </w:t>
      </w:r>
      <w:r>
        <w:rPr>
          <w:rFonts w:ascii="Georgia" w:hAnsi="Georgia" w:eastAsia="Georgia"/>
          <w:b w:val="0"/>
          <w:i w:val="0"/>
          <w:sz w:val="22"/>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pPr>
        <w:spacing w:line="240" w:lineRule="auto" w:before="0" w:after="80"/>
        <w:ind w:firstLine="720"/>
        <w:jc w:val="both"/>
      </w:pPr>
      <w:r>
        <w:rPr>
          <w:rFonts w:ascii="Georgia" w:hAnsi="Georgia" w:eastAsia="Georgia"/>
          <w:b/>
          <w:i w:val="0"/>
          <w:sz w:val="22"/>
        </w:rPr>
        <w:t xml:space="preserve">b. Corpus Construction. </w:t>
      </w:r>
      <w:r>
        <w:rPr>
          <w:rFonts w:ascii="Georgia" w:hAnsi="Georgia" w:eastAsia="Georgia"/>
          <w:b w:val="0"/>
          <w:i w:val="0"/>
          <w:sz w:val="22"/>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p>
    <w:p>
      <w:pPr>
        <w:spacing w:line="240" w:lineRule="auto" w:before="0" w:after="80"/>
        <w:ind w:firstLine="720"/>
        <w:jc w:val="both"/>
      </w:pPr>
      <w:r>
        <w:rPr>
          <w:rFonts w:ascii="Georgia" w:hAnsi="Georgia" w:eastAsia="Georgia"/>
          <w:b/>
          <w:i w:val="0"/>
          <w:sz w:val="22"/>
        </w:rPr>
        <w:t xml:space="preserve">c. Text Extraction. </w:t>
      </w:r>
      <w:r>
        <w:rPr>
          <w:rFonts w:ascii="Georgia" w:hAnsi="Georgia" w:eastAsia="Georgia"/>
          <w:b w:val="0"/>
          <w:i w:val="0"/>
          <w:sz w:val="22"/>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(Acs1–A10, Aas1–A10, VM1–VM20, B1–B20) and organized by discipline.</w:t>
      </w:r>
    </w:p>
    <w:p>
      <w:pPr>
        <w:spacing w:line="240" w:lineRule="auto" w:before="0" w:after="80"/>
        <w:ind w:firstLine="720"/>
        <w:jc w:val="both"/>
      </w:pPr>
      <w:r>
        <w:rPr>
          <w:rFonts w:ascii="Georgia" w:hAnsi="Georgia" w:eastAsia="Georgia"/>
          <w:b/>
          <w:i w:val="0"/>
          <w:sz w:val="22"/>
        </w:rPr>
        <w:t xml:space="preserve">d. Pilot Testing and Reliability Checking. </w:t>
      </w:r>
      <w:r>
        <w:rPr>
          <w:rFonts w:ascii="Georgia" w:hAnsi="Georgia" w:eastAsia="Georgia"/>
          <w:b w:val="0"/>
          <w:i w:val="0"/>
          <w:sz w:val="22"/>
        </w:rPr>
        <w:t>A pilot test was conducted on 4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pPr>
        <w:spacing w:line="240" w:lineRule="auto" w:before="0" w:after="80"/>
        <w:ind w:firstLine="720"/>
        <w:jc w:val="both"/>
      </w:pPr>
      <w:r>
        <w:rPr>
          <w:rFonts w:ascii="Georgia" w:hAnsi="Georgia" w:eastAsia="Georgia"/>
          <w:b/>
          <w:i w:val="0"/>
          <w:sz w:val="22"/>
        </w:rPr>
        <w:t xml:space="preserve">e. Data Analysis. </w:t>
      </w:r>
      <w:r>
        <w:rPr>
          <w:rFonts w:ascii="Georgia" w:hAnsi="Georgia" w:eastAsia="Georgia"/>
          <w:b w:val="0"/>
          <w:i w:val="0"/>
          <w:sz w:val="22"/>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pPr>
        <w:spacing w:line="240" w:lineRule="auto" w:before="0" w:after="80"/>
        <w:ind w:firstLine="720"/>
        <w:jc w:val="both"/>
      </w:pPr>
      <w:r>
        <w:rPr>
          <w:rFonts w:ascii="Georgia" w:hAnsi="Georgia" w:eastAsia="Georgia"/>
          <w:b/>
          <w:i w:val="0"/>
          <w:sz w:val="22"/>
        </w:rPr>
        <w:t xml:space="preserve">f. Timeline. </w:t>
      </w:r>
      <w:r>
        <w:rPr>
          <w:rFonts w:ascii="Georgia" w:hAnsi="Georgia" w:eastAsia="Georgia"/>
          <w:b w:val="0"/>
          <w:i w:val="0"/>
          <w:sz w:val="22"/>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pPr>
        <w:keepNext/>
        <w:keepLines/>
        <w:spacing w:before="0" w:after="80" w:line="240" w:lineRule="auto"/>
        <w:jc w:val="left"/>
      </w:pPr>
      <w:r>
        <w:rPr>
          <w:rFonts w:ascii="Georgia" w:hAnsi="Georgia" w:eastAsia="Georgia"/>
          <w:b/>
          <w:i w:val="0"/>
          <w:sz w:val="24"/>
        </w:rPr>
        <w:t>CODING REVISIONS AND BORDERLINE CASES</w:t>
      </w:r>
    </w:p>
    <w:p>
      <w:pPr>
        <w:spacing w:line="240" w:lineRule="auto" w:before="0" w:after="80"/>
        <w:ind w:firstLine="720"/>
        <w:jc w:val="both"/>
      </w:pPr>
      <w:r>
        <w:rPr>
          <w:rFonts w:ascii="Georgia" w:hAnsi="Georgia" w:eastAsia="Georgia"/>
          <w:b w:val="0"/>
          <w:i w:val="0"/>
          <w:sz w:val="22"/>
        </w:rPr>
        <w:t>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63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p>
    <w:p>
      <w:pPr>
        <w:keepNext/>
        <w:keepLines/>
        <w:spacing w:before="0" w:after="80" w:line="240" w:lineRule="auto"/>
        <w:jc w:val="left"/>
      </w:pPr>
      <w:r>
        <w:rPr>
          <w:rFonts w:ascii="Georgia" w:hAnsi="Georgia" w:eastAsia="Georgia"/>
          <w:b/>
          <w:i w:val="0"/>
          <w:sz w:val="24"/>
        </w:rPr>
        <w:t>RESEARCH CORPUS</w:t>
      </w:r>
    </w:p>
    <w:p>
      <w:pPr>
        <w:spacing w:line="240" w:lineRule="auto" w:before="0" w:after="80"/>
        <w:ind w:firstLine="720"/>
        <w:jc w:val="both"/>
      </w:pPr>
      <w:r>
        <w:rPr>
          <w:rFonts w:ascii="Georgia" w:hAnsi="Georgia" w:eastAsia="Georgia"/>
          <w:b w:val="0"/>
          <w:i w:val="0"/>
          <w:sz w:val="22"/>
        </w:rPr>
        <w:t>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p>
    <w:p>
      <w:pPr>
        <w:spacing w:before="0" w:after="80" w:line="240" w:lineRule="auto"/>
      </w:pPr>
      <w:r>
        <w:rPr>
          <w:rFonts w:ascii="Georgia" w:hAnsi="Georgia" w:eastAsia="Georgia"/>
          <w:b/>
          <w:i w:val="0"/>
          <w:sz w:val="22"/>
        </w:rPr>
        <w:t>Table 1</w:t>
      </w:r>
    </w:p>
    <w:p>
      <w:pPr>
        <w:spacing w:after="80" w:before="0" w:line="240" w:lineRule="auto"/>
      </w:pPr>
      <w:r>
        <w:rPr>
          <w:rFonts w:ascii="Georgia" w:hAnsi="Georgia" w:eastAsia="Georgia"/>
          <w:b w:val="0"/>
          <w:i/>
          <w:sz w:val="22"/>
        </w:rPr>
        <w:t>PSAU Thesis Repository: Population and Sampling Summary</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Category</w:t>
            </w:r>
          </w:p>
        </w:tc>
        <w:tc>
          <w:tcPr>
            <w:tcW w:type="dxa" w:w="1384"/>
          </w:tcPr>
          <w:p>
            <w:r/>
            <w:r>
              <w:rPr>
                <w:rFonts w:ascii="Georgia" w:hAnsi="Georgia" w:eastAsia="Georgia"/>
                <w:b/>
                <w:i w:val="0"/>
                <w:sz w:val="20"/>
              </w:rPr>
              <w:t>Biology</w:t>
            </w:r>
          </w:p>
        </w:tc>
        <w:tc>
          <w:tcPr>
            <w:tcW w:type="dxa" w:w="1384"/>
          </w:tcPr>
          <w:p>
            <w:r/>
            <w:r>
              <w:rPr>
                <w:rFonts w:ascii="Georgia" w:hAnsi="Georgia" w:eastAsia="Georgia"/>
                <w:b/>
                <w:i w:val="0"/>
                <w:sz w:val="20"/>
              </w:rPr>
              <w:t>Veterinary Medicine</w:t>
            </w:r>
          </w:p>
        </w:tc>
        <w:tc>
          <w:tcPr>
            <w:tcW w:type="dxa" w:w="1384"/>
          </w:tcPr>
          <w:p>
            <w:r/>
            <w:r>
              <w:rPr>
                <w:rFonts w:ascii="Georgia" w:hAnsi="Georgia" w:eastAsia="Georgia"/>
                <w:b/>
                <w:i w:val="0"/>
                <w:sz w:val="20"/>
              </w:rPr>
              <w:t>Animal Science</w:t>
            </w:r>
          </w:p>
        </w:tc>
        <w:tc>
          <w:tcPr>
            <w:tcW w:type="dxa" w:w="1384"/>
          </w:tcPr>
          <w:p>
            <w:r/>
            <w:r>
              <w:rPr>
                <w:rFonts w:ascii="Georgia" w:hAnsi="Georgia" w:eastAsia="Georgia"/>
                <w:b/>
                <w:i w:val="0"/>
                <w:sz w:val="20"/>
              </w:rPr>
              <w:t>Crop Science</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Total repository</w:t>
            </w:r>
          </w:p>
        </w:tc>
        <w:tc>
          <w:tcPr>
            <w:tcW w:type="dxa" w:w="1384"/>
          </w:tcPr>
          <w:p>
            <w:r/>
            <w:r>
              <w:rPr>
                <w:rFonts w:ascii="Georgia" w:hAnsi="Georgia" w:eastAsia="Georgia"/>
                <w:b w:val="0"/>
                <w:i w:val="0"/>
                <w:sz w:val="20"/>
              </w:rPr>
              <w:t>275</w:t>
            </w:r>
          </w:p>
        </w:tc>
        <w:tc>
          <w:tcPr>
            <w:tcW w:type="dxa" w:w="1384"/>
          </w:tcPr>
          <w:p>
            <w:r/>
            <w:r>
              <w:rPr>
                <w:rFonts w:ascii="Georgia" w:hAnsi="Georgia" w:eastAsia="Georgia"/>
                <w:b w:val="0"/>
                <w:i w:val="0"/>
                <w:sz w:val="20"/>
              </w:rPr>
              <w:t>206</w:t>
            </w:r>
          </w:p>
        </w:tc>
        <w:tc>
          <w:tcPr>
            <w:tcW w:type="dxa" w:w="1384"/>
          </w:tcPr>
          <w:p>
            <w:r/>
            <w:r>
              <w:rPr>
                <w:rFonts w:ascii="Georgia" w:hAnsi="Georgia" w:eastAsia="Georgia"/>
                <w:b w:val="0"/>
                <w:i w:val="0"/>
                <w:sz w:val="20"/>
              </w:rPr>
              <w:t>131</w:t>
            </w:r>
          </w:p>
        </w:tc>
        <w:tc>
          <w:tcPr>
            <w:tcW w:type="dxa" w:w="1384"/>
          </w:tcPr>
          <w:p>
            <w:r/>
            <w:r>
              <w:rPr>
                <w:rFonts w:ascii="Georgia" w:hAnsi="Georgia" w:eastAsia="Georgia"/>
                <w:b w:val="0"/>
                <w:i w:val="0"/>
                <w:sz w:val="20"/>
              </w:rPr>
              <w:t>216</w:t>
            </w:r>
          </w:p>
        </w:tc>
        <w:tc>
          <w:tcPr>
            <w:tcW w:type="dxa" w:w="1384"/>
          </w:tcPr>
          <w:p>
            <w:r/>
            <w:r>
              <w:rPr>
                <w:rFonts w:ascii="Georgia" w:hAnsi="Georgia" w:eastAsia="Georgia"/>
                <w:b w:val="0"/>
                <w:i w:val="0"/>
                <w:sz w:val="20"/>
              </w:rPr>
              <w:t>828</w:t>
            </w:r>
          </w:p>
        </w:tc>
      </w:tr>
      <w:tr>
        <w:tc>
          <w:tcPr>
            <w:tcW w:type="dxa" w:w="1384"/>
          </w:tcPr>
          <w:p>
            <w:r/>
            <w:r>
              <w:rPr>
                <w:rFonts w:ascii="Georgia" w:hAnsi="Georgia" w:eastAsia="Georgia"/>
                <w:b w:val="0"/>
                <w:i w:val="0"/>
                <w:sz w:val="20"/>
              </w:rPr>
              <w:t>2023–2025 (target pool)</w:t>
            </w:r>
          </w:p>
        </w:tc>
        <w:tc>
          <w:tcPr>
            <w:tcW w:type="dxa" w:w="1384"/>
          </w:tcPr>
          <w:p>
            <w:r/>
            <w:r>
              <w:rPr>
                <w:rFonts w:ascii="Georgia" w:hAnsi="Georgia" w:eastAsia="Georgia"/>
                <w:b w:val="0"/>
                <w:i w:val="0"/>
                <w:sz w:val="20"/>
              </w:rPr>
              <w:t>145</w:t>
            </w:r>
          </w:p>
        </w:tc>
        <w:tc>
          <w:tcPr>
            <w:tcW w:type="dxa" w:w="1384"/>
          </w:tcPr>
          <w:p>
            <w:r/>
            <w:r>
              <w:rPr>
                <w:rFonts w:ascii="Georgia" w:hAnsi="Georgia" w:eastAsia="Georgia"/>
                <w:b w:val="0"/>
                <w:i w:val="0"/>
                <w:sz w:val="20"/>
              </w:rPr>
              <w:t>104</w:t>
            </w:r>
          </w:p>
        </w:tc>
        <w:tc>
          <w:tcPr>
            <w:tcW w:type="dxa" w:w="1384"/>
          </w:tcPr>
          <w:p>
            <w:r/>
            <w:r>
              <w:rPr>
                <w:rFonts w:ascii="Georgia" w:hAnsi="Georgia" w:eastAsia="Georgia"/>
                <w:b w:val="0"/>
                <w:i w:val="0"/>
                <w:sz w:val="20"/>
              </w:rPr>
              <w:t>38</w:t>
            </w:r>
          </w:p>
        </w:tc>
        <w:tc>
          <w:tcPr>
            <w:tcW w:type="dxa" w:w="1384"/>
          </w:tcPr>
          <w:p>
            <w:r/>
            <w:r>
              <w:rPr>
                <w:rFonts w:ascii="Georgia" w:hAnsi="Georgia" w:eastAsia="Georgia"/>
                <w:b w:val="0"/>
                <w:i w:val="0"/>
                <w:sz w:val="20"/>
              </w:rPr>
              <w:t>94</w:t>
            </w:r>
          </w:p>
        </w:tc>
        <w:tc>
          <w:tcPr>
            <w:tcW w:type="dxa" w:w="1384"/>
          </w:tcPr>
          <w:p>
            <w:r/>
            <w:r>
              <w:rPr>
                <w:rFonts w:ascii="Georgia" w:hAnsi="Georgia" w:eastAsia="Georgia"/>
                <w:b w:val="0"/>
                <w:i w:val="0"/>
                <w:sz w:val="20"/>
              </w:rPr>
              <w:t>381</w:t>
            </w:r>
          </w:p>
        </w:tc>
      </w:tr>
      <w:tr>
        <w:tc>
          <w:tcPr>
            <w:tcW w:type="dxa" w:w="1384"/>
          </w:tcPr>
          <w:p>
            <w:r/>
            <w:r>
              <w:rPr>
                <w:rFonts w:ascii="Georgia" w:hAnsi="Georgia" w:eastAsia="Georgia"/>
                <w:b w:val="0"/>
                <w:i w:val="0"/>
                <w:sz w:val="20"/>
              </w:rPr>
              <w:t>Pre-2023 (excluded pool)</w:t>
            </w:r>
          </w:p>
        </w:tc>
        <w:tc>
          <w:tcPr>
            <w:tcW w:type="dxa" w:w="1384"/>
          </w:tcPr>
          <w:p>
            <w:r/>
            <w:r>
              <w:rPr>
                <w:rFonts w:ascii="Georgia" w:hAnsi="Georgia" w:eastAsia="Georgia"/>
                <w:b w:val="0"/>
                <w:i w:val="0"/>
                <w:sz w:val="20"/>
              </w:rPr>
              <w:t>130</w:t>
            </w:r>
          </w:p>
        </w:tc>
        <w:tc>
          <w:tcPr>
            <w:tcW w:type="dxa" w:w="1384"/>
          </w:tcPr>
          <w:p>
            <w:r/>
            <w:r>
              <w:rPr>
                <w:rFonts w:ascii="Georgia" w:hAnsi="Georgia" w:eastAsia="Georgia"/>
                <w:b w:val="0"/>
                <w:i w:val="0"/>
                <w:sz w:val="20"/>
              </w:rPr>
              <w:t>102</w:t>
            </w:r>
          </w:p>
        </w:tc>
        <w:tc>
          <w:tcPr>
            <w:tcW w:type="dxa" w:w="1384"/>
          </w:tcPr>
          <w:p>
            <w:r/>
            <w:r>
              <w:rPr>
                <w:rFonts w:ascii="Georgia" w:hAnsi="Georgia" w:eastAsia="Georgia"/>
                <w:b w:val="0"/>
                <w:i w:val="0"/>
                <w:sz w:val="20"/>
              </w:rPr>
              <w:t>93</w:t>
            </w:r>
          </w:p>
        </w:tc>
        <w:tc>
          <w:tcPr>
            <w:tcW w:type="dxa" w:w="1384"/>
          </w:tcPr>
          <w:p>
            <w:r/>
            <w:r>
              <w:rPr>
                <w:rFonts w:ascii="Georgia" w:hAnsi="Georgia" w:eastAsia="Georgia"/>
                <w:b w:val="0"/>
                <w:i w:val="0"/>
                <w:sz w:val="20"/>
              </w:rPr>
              <w:t>122</w:t>
            </w:r>
          </w:p>
        </w:tc>
        <w:tc>
          <w:tcPr>
            <w:tcW w:type="dxa" w:w="1384"/>
          </w:tcPr>
          <w:p>
            <w:r/>
            <w:r>
              <w:rPr>
                <w:rFonts w:ascii="Georgia" w:hAnsi="Georgia" w:eastAsia="Georgia"/>
                <w:b w:val="0"/>
                <w:i w:val="0"/>
                <w:sz w:val="20"/>
              </w:rPr>
              <w:t>447</w:t>
            </w:r>
          </w:p>
        </w:tc>
      </w:tr>
      <w:tr>
        <w:tc>
          <w:tcPr>
            <w:tcW w:type="dxa" w:w="1384"/>
          </w:tcPr>
          <w:p>
            <w:r/>
            <w:r>
              <w:rPr>
                <w:rFonts w:ascii="Georgia" w:hAnsi="Georgia" w:eastAsia="Georgia"/>
                <w:b w:val="0"/>
                <w:i w:val="0"/>
                <w:sz w:val="20"/>
              </w:rPr>
              <w:t>Pilot sample (pre-2023)</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4</w:t>
            </w:r>
          </w:p>
        </w:tc>
      </w:tr>
      <w:tr>
        <w:tc>
          <w:tcPr>
            <w:tcW w:type="dxa" w:w="1384"/>
          </w:tcPr>
          <w:p>
            <w:r/>
            <w:r>
              <w:rPr>
                <w:rFonts w:ascii="Georgia" w:hAnsi="Georgia" w:eastAsia="Georgia"/>
                <w:b w:val="0"/>
                <w:i w:val="0"/>
                <w:sz w:val="20"/>
              </w:rPr>
              <w:t>Main sample</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60</w:t>
            </w:r>
          </w:p>
        </w:tc>
      </w:tr>
    </w:tbl>
    <w:p>
      <w:pPr>
        <w:spacing w:line="240" w:lineRule="auto" w:before="0" w:after="80"/>
        <w:ind w:firstLine="720"/>
        <w:jc w:val="both"/>
      </w:pPr>
      <w:r>
        <w:rPr>
          <w:rFonts w:ascii="Georgia" w:hAnsi="Georgia" w:eastAsia="Georgia"/>
          <w:b w:val="0"/>
          <w:i w:val="0"/>
          <w:sz w:val="22"/>
        </w:rPr>
        <w:t>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p>
    <w:p>
      <w:pPr>
        <w:spacing w:line="240" w:lineRule="auto" w:before="0" w:after="80"/>
        <w:ind w:firstLine="720"/>
        <w:jc w:val="both"/>
      </w:pPr>
      <w:r>
        <w:rPr>
          <w:rFonts w:ascii="Georgia" w:hAnsi="Georgia" w:eastAsia="Georgia"/>
          <w:b/>
          <w:i w:val="0"/>
          <w:sz w:val="22"/>
        </w:rPr>
        <w:t xml:space="preserve">Inclusion Criteria. </w:t>
      </w:r>
      <w:r>
        <w:rPr>
          <w:rFonts w:ascii="Georgia" w:hAnsi="Georgia" w:eastAsia="Georgia"/>
          <w:b w:val="0"/>
          <w:i w:val="0"/>
          <w:sz w:val="22"/>
        </w:rPr>
        <w:t>English-language undergraduate thesis abstracts; complete abstracts available in the PSAU library archives; clear disciplinary classification based on official degree program; thesis completion between 2023 and 2025.</w:t>
      </w:r>
    </w:p>
    <w:p>
      <w:pPr>
        <w:spacing w:line="240" w:lineRule="auto" w:before="0" w:after="80"/>
        <w:ind w:firstLine="720"/>
        <w:jc w:val="both"/>
      </w:pPr>
      <w:r>
        <w:rPr>
          <w:rFonts w:ascii="Georgia" w:hAnsi="Georgia" w:eastAsia="Georgia"/>
          <w:b/>
          <w:i w:val="0"/>
          <w:sz w:val="22"/>
        </w:rPr>
        <w:t xml:space="preserve">Exclusion Criteria. </w:t>
      </w:r>
      <w:r>
        <w:rPr>
          <w:rFonts w:ascii="Georgia" w:hAnsi="Georgia" w:eastAsia="Georgia"/>
          <w:b w:val="0"/>
          <w:i w:val="0"/>
          <w:sz w:val="22"/>
        </w:rPr>
        <w:t>Non-English abstracts or abstracts with significant Filipino code-switching; graduate-level theses; theses submitted under interdisciplinary degree programs (e.g., Environmental Science) where a single disciplinary affiliation cannot be determined; theses completed before 2023.</w:t>
      </w:r>
    </w:p>
    <w:p>
      <w:pPr>
        <w:spacing w:line="240" w:lineRule="auto" w:before="0" w:after="80"/>
        <w:ind w:firstLine="720"/>
        <w:jc w:val="both"/>
      </w:pPr>
      <w:r>
        <w:rPr>
          <w:rFonts w:ascii="Georgia" w:hAnsi="Georgia" w:eastAsia="Georgia"/>
          <w:b/>
          <w:i w:val="0"/>
          <w:sz w:val="22"/>
        </w:rPr>
        <w:t xml:space="preserve">Ethical Considerations. </w:t>
      </w:r>
      <w:r>
        <w:rPr>
          <w:rFonts w:ascii="Georgia" w:hAnsi="Georgia" w:eastAsia="Georgia"/>
          <w:b w:val="0"/>
          <w:i w:val="0"/>
          <w:sz w:val="22"/>
        </w:rPr>
        <w:t>Abstracts were accessed on-site at the PSAU Library with proper authorization. Student names and thesis titles were fully anonymized using discipline codes (Acs1–A10, Aas1–A10,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p>
    <w:p>
      <w:pPr>
        <w:spacing w:after="40" w:before="0"/>
        <w:sectPr>
          <w:headerReference w:type="default" r:id="rId12"/>
          <w:headerReference w:type="first" r:id="rId13"/>
          <w:pgSz w:w="11906" w:h="16838"/>
          <w:pgMar w:top="1440" w:right="1440" w:bottom="1440" w:left="2160" w:header="720" w:footer="720" w:gutter="0"/>
          <w:cols w:space="720"/>
          <w:titlePg/>
          <w:docGrid w:linePitch="360"/>
        </w:sectPr>
      </w:pP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keepNext/>
        <w:keepLines/>
        <w:spacing w:before="0" w:after="80" w:line="240" w:lineRule="auto"/>
        <w:jc w:val="center"/>
      </w:pPr>
      <w:r>
        <w:rPr>
          <w:rFonts w:ascii="Georgia" w:hAnsi="Georgia" w:eastAsia="Georgia"/>
          <w:b/>
          <w:i w:val="0"/>
          <w:sz w:val="28"/>
        </w:rPr>
        <w:t>RESULTS, ANALYSIS, AND DISCUSSION</w:t>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spacing w:line="240" w:lineRule="auto" w:before="0" w:after="80"/>
        <w:ind w:firstLine="720"/>
        <w:jc w:val="both"/>
      </w:pPr>
      <w:r>
        <w:rPr>
          <w:rFonts w:ascii="Georgia" w:hAnsi="Georgia" w:eastAsia="Georgia"/>
          <w:b w:val="0"/>
          <w:i w:val="0"/>
          <w:sz w:val="22"/>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p>
    <w:p>
      <w:pPr>
        <w:keepNext/>
        <w:keepLines/>
        <w:spacing w:before="0" w:after="80" w:line="240" w:lineRule="auto"/>
        <w:jc w:val="left"/>
      </w:pPr>
      <w:r>
        <w:rPr>
          <w:rFonts w:ascii="Georgia" w:hAnsi="Georgia" w:eastAsia="Georgia"/>
          <w:b/>
          <w:i w:val="0"/>
          <w:sz w:val="24"/>
        </w:rPr>
        <w:t>PART I: HEDGE TYPES ACROSS THE THREE DISCIPLINES</w:t>
      </w:r>
    </w:p>
    <w:p>
      <w:pPr>
        <w:spacing w:line="240" w:lineRule="auto" w:before="0" w:after="80"/>
        <w:ind w:firstLine="720"/>
        <w:jc w:val="both"/>
      </w:pPr>
      <w:r>
        <w:rPr>
          <w:rFonts w:ascii="Georgia" w:hAnsi="Georgia" w:eastAsia="Georgia"/>
          <w:b w:val="0"/>
          <w:i w:val="0"/>
          <w:sz w:val="22"/>
        </w:rPr>
        <w:t>The coding identified 60 hedge tokens across the 60-abstract corpus. These tokens were classified into four types following Hyland’s (1998) taxonomy: modal verbs, lexical hedges, adverbial hedges, and clause-level hedges. Table 2 presents the distribution of hedge types across the full corpus.</w:t>
      </w:r>
    </w:p>
    <w:p>
      <w:pPr>
        <w:spacing w:before="0" w:after="80" w:line="240" w:lineRule="auto"/>
      </w:pPr>
      <w:r>
        <w:rPr>
          <w:rFonts w:ascii="Georgia" w:hAnsi="Georgia" w:eastAsia="Georgia"/>
          <w:b/>
          <w:i w:val="0"/>
          <w:sz w:val="22"/>
        </w:rPr>
        <w:t>Table 2</w:t>
      </w:r>
    </w:p>
    <w:p>
      <w:pPr>
        <w:spacing w:after="80" w:before="0" w:line="240" w:lineRule="auto"/>
      </w:pPr>
      <w:r>
        <w:rPr>
          <w:rFonts w:ascii="Georgia" w:hAnsi="Georgia" w:eastAsia="Georgia"/>
          <w:b w:val="0"/>
          <w:i/>
          <w:sz w:val="22"/>
        </w:rPr>
        <w:t>Hedge Type Distribution Across the Corpus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Hedge Type</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Modal Verbs</w:t>
            </w:r>
          </w:p>
        </w:tc>
        <w:tc>
          <w:tcPr>
            <w:tcW w:type="dxa" w:w="2769"/>
          </w:tcPr>
          <w:p>
            <w:r/>
            <w:r>
              <w:rPr>
                <w:rFonts w:ascii="Georgia" w:hAnsi="Georgia" w:eastAsia="Georgia"/>
                <w:b w:val="0"/>
                <w:i w:val="0"/>
                <w:sz w:val="20"/>
              </w:rPr>
              <w:t>21</w:t>
            </w:r>
          </w:p>
        </w:tc>
        <w:tc>
          <w:tcPr>
            <w:tcW w:type="dxa" w:w="2769"/>
          </w:tcPr>
          <w:p>
            <w:r/>
            <w:r>
              <w:rPr>
                <w:rFonts w:ascii="Georgia" w:hAnsi="Georgia" w:eastAsia="Georgia"/>
                <w:b w:val="0"/>
                <w:i w:val="0"/>
                <w:sz w:val="20"/>
              </w:rPr>
              <w:t>35.0%</w:t>
            </w:r>
          </w:p>
        </w:tc>
      </w:tr>
      <w:tr>
        <w:tc>
          <w:tcPr>
            <w:tcW w:type="dxa" w:w="2769"/>
          </w:tcPr>
          <w:p>
            <w:r/>
            <w:r>
              <w:rPr>
                <w:rFonts w:ascii="Georgia" w:hAnsi="Georgia" w:eastAsia="Georgia"/>
                <w:b w:val="0"/>
                <w:i w:val="0"/>
                <w:sz w:val="20"/>
              </w:rPr>
              <w:t>Lexical Hedges</w:t>
            </w:r>
          </w:p>
        </w:tc>
        <w:tc>
          <w:tcPr>
            <w:tcW w:type="dxa" w:w="2769"/>
          </w:tcPr>
          <w:p>
            <w:r/>
            <w:r>
              <w:rPr>
                <w:rFonts w:ascii="Georgia" w:hAnsi="Georgia" w:eastAsia="Georgia"/>
                <w:b w:val="0"/>
                <w:i w:val="0"/>
                <w:sz w:val="20"/>
              </w:rPr>
              <w:t>36</w:t>
            </w:r>
          </w:p>
        </w:tc>
        <w:tc>
          <w:tcPr>
            <w:tcW w:type="dxa" w:w="2769"/>
          </w:tcPr>
          <w:p>
            <w:r/>
            <w:r>
              <w:rPr>
                <w:rFonts w:ascii="Georgia" w:hAnsi="Georgia" w:eastAsia="Georgia"/>
                <w:b w:val="0"/>
                <w:i w:val="0"/>
                <w:sz w:val="20"/>
              </w:rPr>
              <w:t>60.0%</w:t>
            </w:r>
          </w:p>
        </w:tc>
      </w:tr>
      <w:tr>
        <w:tc>
          <w:tcPr>
            <w:tcW w:type="dxa" w:w="2769"/>
          </w:tcPr>
          <w:p>
            <w:r/>
            <w:r>
              <w:rPr>
                <w:rFonts w:ascii="Georgia" w:hAnsi="Georgia" w:eastAsia="Georgia"/>
                <w:b w:val="0"/>
                <w:i w:val="0"/>
                <w:sz w:val="20"/>
              </w:rPr>
              <w:t>Adverbial Hedges</w:t>
            </w:r>
          </w:p>
        </w:tc>
        <w:tc>
          <w:tcPr>
            <w:tcW w:type="dxa" w:w="2769"/>
          </w:tcPr>
          <w:p>
            <w:r/>
            <w:r>
              <w:rPr>
                <w:rFonts w:ascii="Georgia" w:hAnsi="Georgia" w:eastAsia="Georgia"/>
                <w:b w:val="0"/>
                <w:i w:val="0"/>
                <w:sz w:val="20"/>
              </w:rPr>
              <w:t>3</w:t>
            </w:r>
          </w:p>
        </w:tc>
        <w:tc>
          <w:tcPr>
            <w:tcW w:type="dxa" w:w="2769"/>
          </w:tcPr>
          <w:p>
            <w:r/>
            <w:r>
              <w:rPr>
                <w:rFonts w:ascii="Georgia" w:hAnsi="Georgia" w:eastAsia="Georgia"/>
                <w:b w:val="0"/>
                <w:i w:val="0"/>
                <w:sz w:val="20"/>
              </w:rPr>
              <w:t>5.0%</w:t>
            </w:r>
          </w:p>
        </w:tc>
      </w:tr>
      <w:tr>
        <w:tc>
          <w:tcPr>
            <w:tcW w:type="dxa" w:w="2769"/>
          </w:tcPr>
          <w:p>
            <w:r/>
            <w:r>
              <w:rPr>
                <w:rFonts w:ascii="Georgia" w:hAnsi="Georgia" w:eastAsia="Georgia"/>
                <w:b w:val="0"/>
                <w:i w:val="0"/>
                <w:sz w:val="20"/>
              </w:rPr>
              <w:t>Clause-Level Hedges</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40"/>
        <w:ind w:firstLine="720"/>
        <w:jc w:val="both"/>
      </w:pPr>
      <w:r>
        <w:rPr>
          <w:rFonts w:ascii="Georgia" w:hAnsi="Georgia" w:eastAsia="Georgia"/>
          <w:b w:val="0"/>
          <w:i w:val="0"/>
          <w:sz w:val="22"/>
        </w:rPr>
      </w:r>
    </w:p>
    <w:p>
      <w:pPr>
        <w:spacing w:line="240" w:lineRule="auto" w:before="0" w:after="80"/>
        <w:ind w:firstLine="720"/>
        <w:jc w:val="both"/>
      </w:pPr>
      <w:r>
        <w:rPr>
          <w:rFonts w:ascii="Georgia" w:hAnsi="Georgia" w:eastAsia="Georgia"/>
          <w:b w:val="0"/>
          <w:i w:val="0"/>
          <w:sz w:val="22"/>
        </w:rPr>
        <w:t>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p>
    <w:p>
      <w:pPr>
        <w:spacing w:line="240" w:lineRule="auto" w:before="0" w:after="80"/>
        <w:ind w:firstLine="720"/>
        <w:jc w:val="both"/>
      </w:pPr>
      <w:r>
        <w:rPr>
          <w:rFonts w:ascii="Georgia" w:hAnsi="Georgia" w:eastAsia="Georgia"/>
          <w:b w:val="0"/>
          <w:i w:val="0"/>
          <w:sz w:val="22"/>
        </w:rPr>
        <w:t>A closer examination of the lexical hedge category reveals that the token “potential” accounted for 14 of the 36 lexical instances (38.9%), making it the single most frequent hedge token in the corpus. Other frequent lexical hedges included “suggests” (7 instances), “indicating” (6 instances), and “suggesting” (3 instances). The modal verb category was led by “can” (9 instances, primarily in inferential constructions such as “can be stated” and “can be derived”), followed by “could” (7) and “may” (6). The dominance of “potential” as a lexical hedge is noteworthy because it reflects a specific rhetorical move: qualifying implications rather than directly hedging results. Writers used “potential” to frame their findings as having possible applications, as in “the potential of B. subtilis as a sustainable solution.” This is a softer claim than “B. subtilis is a sustainable solution,” but it stops short of the more direct tentativeness that “may” or “might” would provide. The high frequency of “potential” may also suggest that it functions as a learned formula rather than an epistemically motivated choice, since it appears in nearly identical syntactic positions across multiple abstracts and disciplines. The concordance analysis of all 14 “potential” hedge instances reveals a recurring phraseological pattern: “the potential of X as a Y” (e.g., “the potential of B. subtilis as a sustainable solution”), “has potential as an X” (e.g., “has potential as an alternative feed ration”), and “highlight their potential as X” (e.g., “highlight their potential as effective, low-cost biofertilizers”). This recurring n-gram frame supports the interpretation that “potential” functions partly as a learned formula rather than a fully epistemic choice, as it appears in nearly identical syntactic positions across multiple abstracts and disciplines. Agriculture and Biology account for 11 of the 14 “potential” instances, while Veterinary Medicine accounts for only 3, reflecting the practical-orientation difference between these fields.</w:t>
      </w:r>
    </w:p>
    <w:p>
      <w:pPr>
        <w:spacing w:line="240" w:lineRule="auto" w:before="0" w:after="80"/>
        <w:ind w:firstLine="720"/>
        <w:jc w:val="both"/>
      </w:pPr>
      <w:r>
        <w:rPr>
          <w:rFonts w:ascii="Georgia" w:hAnsi="Georgia" w:eastAsia="Georgia"/>
          <w:b w:val="0"/>
          <w:i w:val="0"/>
          <w:sz w:val="22"/>
        </w:rPr>
        <w:t>The distribution of hedge types also varies meaningfully across disciplines. Table 3 presents the per-discipline breakdown of hedge types.</w:t>
      </w:r>
    </w:p>
    <w:p>
      <w:pPr>
        <w:spacing w:before="0" w:after="80" w:line="240" w:lineRule="auto"/>
      </w:pPr>
      <w:r>
        <w:rPr>
          <w:rFonts w:ascii="Georgia" w:hAnsi="Georgia" w:eastAsia="Georgia"/>
          <w:b/>
          <w:i w:val="0"/>
          <w:sz w:val="22"/>
        </w:rPr>
        <w:t>Table 3</w:t>
      </w:r>
    </w:p>
    <w:p>
      <w:pPr>
        <w:spacing w:after="80" w:before="0" w:line="240" w:lineRule="auto"/>
      </w:pPr>
      <w:r>
        <w:rPr>
          <w:rFonts w:ascii="Georgia" w:hAnsi="Georgia" w:eastAsia="Georgia"/>
          <w:b w:val="0"/>
          <w:i/>
          <w:sz w:val="22"/>
        </w:rPr>
        <w:t>Hedge Type Distribution by Discipline</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Discipline</w:t>
            </w:r>
          </w:p>
        </w:tc>
        <w:tc>
          <w:tcPr>
            <w:tcW w:type="dxa" w:w="1384"/>
          </w:tcPr>
          <w:p>
            <w:r/>
            <w:r>
              <w:rPr>
                <w:rFonts w:ascii="Georgia" w:hAnsi="Georgia" w:eastAsia="Georgia"/>
                <w:b/>
                <w:i w:val="0"/>
                <w:sz w:val="20"/>
              </w:rPr>
              <w:t>Modal Verbs</w:t>
            </w:r>
          </w:p>
        </w:tc>
        <w:tc>
          <w:tcPr>
            <w:tcW w:type="dxa" w:w="1384"/>
          </w:tcPr>
          <w:p>
            <w:r/>
            <w:r>
              <w:rPr>
                <w:rFonts w:ascii="Georgia" w:hAnsi="Georgia" w:eastAsia="Georgia"/>
                <w:b/>
                <w:i w:val="0"/>
                <w:sz w:val="20"/>
              </w:rPr>
              <w:t>Lexical Hedges</w:t>
            </w:r>
          </w:p>
        </w:tc>
        <w:tc>
          <w:tcPr>
            <w:tcW w:type="dxa" w:w="1384"/>
          </w:tcPr>
          <w:p>
            <w:r/>
            <w:r>
              <w:rPr>
                <w:rFonts w:ascii="Georgia" w:hAnsi="Georgia" w:eastAsia="Georgia"/>
                <w:b/>
                <w:i w:val="0"/>
                <w:sz w:val="20"/>
              </w:rPr>
              <w:t>Adverbial</w:t>
            </w:r>
          </w:p>
        </w:tc>
        <w:tc>
          <w:tcPr>
            <w:tcW w:type="dxa" w:w="1384"/>
          </w:tcPr>
          <w:p>
            <w:r/>
            <w:r>
              <w:rPr>
                <w:rFonts w:ascii="Georgia" w:hAnsi="Georgia" w:eastAsia="Georgia"/>
                <w:b/>
                <w:i w:val="0"/>
                <w:sz w:val="20"/>
              </w:rPr>
              <w:t>Clause-Level</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Agriculture</w:t>
            </w:r>
          </w:p>
        </w:tc>
        <w:tc>
          <w:tcPr>
            <w:tcW w:type="dxa" w:w="1384"/>
          </w:tcPr>
          <w:p>
            <w:r/>
            <w:r>
              <w:rPr>
                <w:rFonts w:ascii="Georgia" w:hAnsi="Georgia" w:eastAsia="Georgia"/>
                <w:b w:val="0"/>
                <w:i w:val="0"/>
                <w:sz w:val="20"/>
              </w:rPr>
              <w:t>14 (53.8%)</w:t>
            </w:r>
          </w:p>
        </w:tc>
        <w:tc>
          <w:tcPr>
            <w:tcW w:type="dxa" w:w="1384"/>
          </w:tcPr>
          <w:p>
            <w:r/>
            <w:r>
              <w:rPr>
                <w:rFonts w:ascii="Georgia" w:hAnsi="Georgia" w:eastAsia="Georgia"/>
                <w:b w:val="0"/>
                <w:i w:val="0"/>
                <w:sz w:val="20"/>
              </w:rPr>
              <w:t>12 (46.2%)</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26</w:t>
            </w:r>
          </w:p>
        </w:tc>
      </w:tr>
      <w:tr>
        <w:tc>
          <w:tcPr>
            <w:tcW w:type="dxa" w:w="1384"/>
          </w:tcPr>
          <w:p>
            <w:r/>
            <w:r>
              <w:rPr>
                <w:rFonts w:ascii="Georgia" w:hAnsi="Georgia" w:eastAsia="Georgia"/>
                <w:b w:val="0"/>
                <w:i w:val="0"/>
                <w:sz w:val="20"/>
              </w:rPr>
              <w:t>Biology</w:t>
            </w:r>
          </w:p>
        </w:tc>
        <w:tc>
          <w:tcPr>
            <w:tcW w:type="dxa" w:w="1384"/>
          </w:tcPr>
          <w:p>
            <w:r/>
            <w:r>
              <w:rPr>
                <w:rFonts w:ascii="Georgia" w:hAnsi="Georgia" w:eastAsia="Georgia"/>
                <w:b w:val="0"/>
                <w:i w:val="0"/>
                <w:sz w:val="20"/>
              </w:rPr>
              <w:t>5 (20.0%)</w:t>
            </w:r>
          </w:p>
        </w:tc>
        <w:tc>
          <w:tcPr>
            <w:tcW w:type="dxa" w:w="1384"/>
          </w:tcPr>
          <w:p>
            <w:r/>
            <w:r>
              <w:rPr>
                <w:rFonts w:ascii="Georgia" w:hAnsi="Georgia" w:eastAsia="Georgia"/>
                <w:b w:val="0"/>
                <w:i w:val="0"/>
                <w:sz w:val="20"/>
              </w:rPr>
              <w:t>17 (68.0%)</w:t>
            </w:r>
          </w:p>
        </w:tc>
        <w:tc>
          <w:tcPr>
            <w:tcW w:type="dxa" w:w="1384"/>
          </w:tcPr>
          <w:p>
            <w:r/>
            <w:r>
              <w:rPr>
                <w:rFonts w:ascii="Georgia" w:hAnsi="Georgia" w:eastAsia="Georgia"/>
                <w:b w:val="0"/>
                <w:i w:val="0"/>
                <w:sz w:val="20"/>
              </w:rPr>
              <w:t>3 (12.0%)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25</w:t>
            </w:r>
          </w:p>
        </w:tc>
      </w:tr>
      <w:tr>
        <w:tc>
          <w:tcPr>
            <w:tcW w:type="dxa" w:w="1384"/>
          </w:tcPr>
          <w:p>
            <w:r/>
            <w:r>
              <w:rPr>
                <w:rFonts w:ascii="Georgia" w:hAnsi="Georgia" w:eastAsia="Georgia"/>
                <w:b w:val="0"/>
                <w:i w:val="0"/>
                <w:sz w:val="20"/>
              </w:rPr>
              <w:t>Veterinary Medicine</w:t>
            </w:r>
          </w:p>
        </w:tc>
        <w:tc>
          <w:tcPr>
            <w:tcW w:type="dxa" w:w="1384"/>
          </w:tcPr>
          <w:p>
            <w:r/>
            <w:r>
              <w:rPr>
                <w:rFonts w:ascii="Georgia" w:hAnsi="Georgia" w:eastAsia="Georgia"/>
                <w:b w:val="0"/>
                <w:i w:val="0"/>
                <w:sz w:val="20"/>
              </w:rPr>
              <w:t>2 (22.2%)</w:t>
            </w:r>
          </w:p>
        </w:tc>
        <w:tc>
          <w:tcPr>
            <w:tcW w:type="dxa" w:w="1384"/>
          </w:tcPr>
          <w:p>
            <w:r/>
            <w:r>
              <w:rPr>
                <w:rFonts w:ascii="Georgia" w:hAnsi="Georgia" w:eastAsia="Georgia"/>
                <w:b w:val="0"/>
                <w:i w:val="0"/>
                <w:sz w:val="20"/>
              </w:rPr>
              <w:t>7 (77.8%)</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9</w:t>
            </w:r>
          </w:p>
        </w:tc>
      </w:tr>
      <w:tr>
        <w:tc>
          <w:tcPr>
            <w:tcW w:type="dxa" w:w="1384"/>
          </w:tcPr>
          <w:p>
            <w:r/>
            <w:r>
              <w:rPr>
                <w:rFonts w:ascii="Georgia" w:hAnsi="Georgia" w:eastAsia="Georgia"/>
                <w:b w:val="0"/>
                <w:i w:val="0"/>
                <w:sz w:val="20"/>
              </w:rPr>
              <w:t>Total</w:t>
            </w:r>
          </w:p>
        </w:tc>
        <w:tc>
          <w:tcPr>
            <w:tcW w:type="dxa" w:w="1384"/>
          </w:tcPr>
          <w:p>
            <w:r/>
            <w:r>
              <w:rPr>
                <w:rFonts w:ascii="Georgia" w:hAnsi="Georgia" w:eastAsia="Georgia"/>
                <w:b w:val="0"/>
                <w:i w:val="0"/>
                <w:sz w:val="20"/>
              </w:rPr>
              <w:t>21 (35.0%)</w:t>
            </w:r>
          </w:p>
        </w:tc>
        <w:tc>
          <w:tcPr>
            <w:tcW w:type="dxa" w:w="1384"/>
          </w:tcPr>
          <w:p>
            <w:r/>
            <w:r>
              <w:rPr>
                <w:rFonts w:ascii="Georgia" w:hAnsi="Georgia" w:eastAsia="Georgia"/>
                <w:b w:val="0"/>
                <w:i w:val="0"/>
                <w:sz w:val="20"/>
              </w:rPr>
              <w:t>36 (60.0%)</w:t>
            </w:r>
          </w:p>
        </w:tc>
        <w:tc>
          <w:tcPr>
            <w:tcW w:type="dxa" w:w="1384"/>
          </w:tcPr>
          <w:p>
            <w:r/>
            <w:r>
              <w:rPr>
                <w:rFonts w:ascii="Georgia" w:hAnsi="Georgia" w:eastAsia="Georgia"/>
                <w:b w:val="0"/>
                <w:i w:val="0"/>
                <w:sz w:val="20"/>
              </w:rPr>
              <w:t>3 (5.0%)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60</w:t>
            </w:r>
          </w:p>
        </w:tc>
      </w:tr>
    </w:tbl>
    <w:p>
      <w:pPr>
        <w:spacing w:line="480" w:lineRule="auto" w:before="0" w:after="40"/>
        <w:ind w:firstLine="720"/>
        <w:jc w:val="both"/>
      </w:pPr>
      <w:r>
        <w:rPr>
          <w:rFonts w:ascii="Georgia" w:hAnsi="Georgia" w:eastAsia="Georgia"/>
          <w:b w:val="0"/>
          <w:i w:val="0"/>
          <w:sz w:val="22"/>
        </w:rPr>
      </w:r>
    </w:p>
    <w:p>
      <w:pPr>
        <w:spacing w:line="240" w:lineRule="auto" w:before="0" w:after="80"/>
        <w:ind w:firstLine="720"/>
        <w:jc w:val="both"/>
      </w:pPr>
      <w:r>
        <w:rPr>
          <w:rFonts w:ascii="Georgia" w:hAnsi="Georgia" w:eastAsia="Georgia"/>
          <w:b w:val="0"/>
          <w:i w:val="0"/>
          <w:sz w:val="22"/>
        </w:rPr>
        <w:t>Table 3 reveals that Agriculture has a nearly balanced distribution (14 modal verbs, 53.8% vs. 12 lexical hedges, 46.2%), while Biology is heavily lexical (17 of 25 hedges, 68.0%, with only 5 modal verbs). Veterinary Medicine, with only 9 total hedges, is also predominantly lexical (7 of 9, 77.8%).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p>
    <w:p>
      <w:pPr>
        <w:spacing w:line="240" w:lineRule="auto" w:before="0" w:after="80"/>
        <w:ind w:firstLine="720"/>
        <w:jc w:val="both"/>
      </w:pPr>
      <w:r>
        <w:rPr>
          <w:rFonts w:ascii="Georgia" w:hAnsi="Georgia" w:eastAsia="Georgia"/>
          <w:b w:val="0"/>
          <w:i w:val="0"/>
          <w:sz w:val="22"/>
        </w:rPr>
        <w:t>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p>
    <w:p>
      <w:pPr>
        <w:spacing w:line="240" w:lineRule="auto" w:before="0" w:after="80"/>
        <w:ind w:firstLine="720"/>
        <w:jc w:val="both"/>
      </w:pPr>
      <w:r>
        <w:rPr>
          <w:rFonts w:ascii="Georgia" w:hAnsi="Georgia" w:eastAsia="Georgia"/>
          <w:b w:val="0"/>
          <w:i w:val="0"/>
          <w:sz w:val="22"/>
        </w:rPr>
        <w:t>The corpus also yielded 63 false positive tokens, hedge-like words that were initially flagged but rejected after applying the codebook’s Working Test. The false positive breakdown shows FP-Gen (general exclusion, including topic-naming and evidential pointers) at 38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stricter rule for “potential + noun” constructions based on structural position rather than verb choice. This disambiguation rule is the most methodologically interesting feature of the coding scheme, as it demonstrates that surface-level keyword matching would have inflated the hedge count by treating topic-naming instances as epistemic hedges.</w:t>
      </w:r>
    </w:p>
    <w:p>
      <w:pPr>
        <w:spacing w:line="240" w:lineRule="auto" w:before="0" w:after="80"/>
        <w:ind w:firstLine="720"/>
        <w:jc w:val="both"/>
      </w:pPr>
      <w:r>
        <w:rPr>
          <w:rFonts w:ascii="Georgia" w:hAnsi="Georgia" w:eastAsia="Georgia"/>
          <w:b w:val="0"/>
          <w:i w:val="0"/>
          <w:sz w:val="22"/>
        </w:rPr>
        <w:t>Additionally, 37 unhedged assertion sites were identified in the 28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46.7% zero-hedge rate in this corpus a sharp departure from expert norms.</w:t>
      </w:r>
    </w:p>
    <w:p>
      <w:pPr>
        <w:spacing w:line="240" w:lineRule="auto" w:before="0" w:after="80"/>
        <w:ind w:firstLine="720"/>
        <w:jc w:val="both"/>
      </w:pPr>
      <w:r>
        <w:rPr>
          <w:rFonts w:ascii="Georgia" w:hAnsi="Georgia" w:eastAsia="Georgia"/>
          <w:b w:val="0"/>
          <w:i w:val="0"/>
          <w:sz w:val="22"/>
        </w:rPr>
        <w:t>Booster analysis of the 28 zero-hedge abstracts revealed 88 booster tokens, averaging approximately 3.1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p>
    <w:p>
      <w:pPr>
        <w:keepNext/>
        <w:keepLines/>
        <w:spacing w:before="0" w:after="80" w:line="240" w:lineRule="auto"/>
        <w:jc w:val="left"/>
      </w:pPr>
      <w:r>
        <w:rPr>
          <w:rFonts w:ascii="Georgia" w:hAnsi="Georgia" w:eastAsia="Georgia"/>
          <w:b/>
          <w:i w:val="0"/>
          <w:sz w:val="24"/>
        </w:rPr>
        <w:t>PART II: HEDGE FREQUENCY ACROSS DISCIPLINES</w:t>
      </w:r>
    </w:p>
    <w:p>
      <w:pPr>
        <w:spacing w:line="240" w:lineRule="auto" w:before="0" w:after="80"/>
        <w:ind w:firstLine="720"/>
        <w:jc w:val="both"/>
      </w:pPr>
      <w:r>
        <w:rPr>
          <w:rFonts w:ascii="Georgia" w:hAnsi="Georgia" w:eastAsia="Georgia"/>
          <w:b w:val="0"/>
          <w:i w:val="0"/>
          <w:sz w:val="22"/>
        </w:rPr>
        <w:t>Cross-disciplinary comparison reveals substantial variation in hedge density. Table 4 presents the hedge counts, false positives, unhedged sites, and normalized frequency (hedges per 100 words) for each discipline.</w:t>
      </w:r>
    </w:p>
    <w:p>
      <w:pPr>
        <w:spacing w:before="0" w:after="80" w:line="240" w:lineRule="auto"/>
      </w:pPr>
      <w:r>
        <w:rPr>
          <w:rFonts w:ascii="Georgia" w:hAnsi="Georgia" w:eastAsia="Georgia"/>
          <w:b/>
          <w:i w:val="0"/>
          <w:sz w:val="22"/>
        </w:rPr>
        <w:t>Table 4</w:t>
      </w:r>
    </w:p>
    <w:p>
      <w:pPr>
        <w:spacing w:after="80" w:before="0" w:line="240" w:lineRule="auto"/>
      </w:pPr>
      <w:r>
        <w:rPr>
          <w:rFonts w:ascii="Georgia" w:hAnsi="Georgia" w:eastAsia="Georgia"/>
          <w:b w:val="0"/>
          <w:i/>
          <w:sz w:val="22"/>
        </w:rPr>
        <w:t>Hedge Frequency by Discipline</w:t>
      </w:r>
    </w:p>
    <w:tbl>
      <w:tblPr>
        <w:tblStyle w:val="TableGrid"/>
        <w:tblW w:type="auto" w:w="0"/>
        <w:tblLayout w:type="autofit"/>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
              <w:rPr>
                <w:rFonts w:ascii="Georgia" w:hAnsi="Georgia" w:eastAsia="Georgia"/>
                <w:b/>
                <w:i w:val="0"/>
                <w:sz w:val="20"/>
              </w:rPr>
              <w:t>Discipline</w:t>
            </w:r>
          </w:p>
        </w:tc>
        <w:tc>
          <w:tcPr>
            <w:tcW w:type="dxa" w:w="1038"/>
          </w:tcPr>
          <w:p>
            <w:r/>
            <w:r>
              <w:rPr>
                <w:rFonts w:ascii="Georgia" w:hAnsi="Georgia" w:eastAsia="Georgia"/>
                <w:b/>
                <w:i w:val="0"/>
                <w:sz w:val="20"/>
              </w:rPr>
              <w:t>Abstracts</w:t>
            </w:r>
          </w:p>
        </w:tc>
        <w:tc>
          <w:tcPr>
            <w:tcW w:type="dxa" w:w="1038"/>
          </w:tcPr>
          <w:p>
            <w:r/>
            <w:r>
              <w:rPr>
                <w:rFonts w:ascii="Georgia" w:hAnsi="Georgia" w:eastAsia="Georgia"/>
                <w:b/>
                <w:i w:val="0"/>
                <w:sz w:val="20"/>
              </w:rPr>
              <w:t>Words</w:t>
            </w:r>
          </w:p>
        </w:tc>
        <w:tc>
          <w:tcPr>
            <w:tcW w:type="dxa" w:w="1038"/>
          </w:tcPr>
          <w:p>
            <w:r/>
            <w:r>
              <w:rPr>
                <w:rFonts w:ascii="Georgia" w:hAnsi="Georgia" w:eastAsia="Georgia"/>
                <w:b/>
                <w:i w:val="0"/>
                <w:sz w:val="20"/>
              </w:rPr>
              <w:t>Hedges</w:t>
            </w:r>
          </w:p>
        </w:tc>
        <w:tc>
          <w:tcPr>
            <w:tcW w:type="dxa" w:w="1038"/>
          </w:tcPr>
          <w:p>
            <w:r/>
            <w:r>
              <w:rPr>
                <w:rFonts w:ascii="Georgia" w:hAnsi="Georgia" w:eastAsia="Georgia"/>
                <w:b/>
                <w:i w:val="0"/>
                <w:sz w:val="20"/>
              </w:rPr>
              <w:t>FPs</w:t>
            </w:r>
          </w:p>
        </w:tc>
        <w:tc>
          <w:tcPr>
            <w:tcW w:type="dxa" w:w="1038"/>
          </w:tcPr>
          <w:p>
            <w:r/>
            <w:r>
              <w:rPr>
                <w:rFonts w:ascii="Georgia" w:hAnsi="Georgia" w:eastAsia="Georgia"/>
                <w:b/>
                <w:i w:val="0"/>
                <w:sz w:val="20"/>
              </w:rPr>
              <w:t>L3 Sites</w:t>
            </w:r>
          </w:p>
        </w:tc>
        <w:tc>
          <w:tcPr>
            <w:tcW w:type="dxa" w:w="1038"/>
          </w:tcPr>
          <w:p>
            <w:r/>
            <w:r>
              <w:rPr>
                <w:rFonts w:ascii="Georgia" w:hAnsi="Georgia" w:eastAsia="Georgia"/>
                <w:b/>
                <w:i w:val="0"/>
                <w:sz w:val="20"/>
              </w:rPr>
              <w:t>Zero-Hedge</w:t>
            </w:r>
          </w:p>
        </w:tc>
        <w:tc>
          <w:tcPr>
            <w:tcW w:type="dxa" w:w="1038"/>
          </w:tcPr>
          <w:p>
            <w:r/>
            <w:r>
              <w:rPr>
                <w:rFonts w:ascii="Georgia" w:hAnsi="Georgia" w:eastAsia="Georgia"/>
                <w:b/>
                <w:i w:val="0"/>
                <w:sz w:val="20"/>
              </w:rPr>
              <w:t>Hedges/100w</w:t>
            </w:r>
          </w:p>
        </w:tc>
      </w:tr>
      <w:tr>
        <w:tc>
          <w:tcPr>
            <w:tcW w:type="dxa" w:w="1038"/>
          </w:tcPr>
          <w:p>
            <w:r/>
            <w:r>
              <w:rPr>
                <w:rFonts w:ascii="Georgia" w:hAnsi="Georgia" w:eastAsia="Georgia"/>
                <w:b w:val="0"/>
                <w:i w:val="0"/>
                <w:sz w:val="20"/>
              </w:rPr>
              <w:t>Agriculture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4,300</w:t>
            </w:r>
          </w:p>
        </w:tc>
        <w:tc>
          <w:tcPr>
            <w:tcW w:type="dxa" w:w="1038"/>
          </w:tcPr>
          <w:p>
            <w:r/>
            <w:r>
              <w:rPr>
                <w:rFonts w:ascii="Georgia" w:hAnsi="Georgia" w:eastAsia="Georgia"/>
                <w:b w:val="0"/>
                <w:i w:val="0"/>
                <w:sz w:val="20"/>
              </w:rPr>
              <w:t>26</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12</w:t>
            </w:r>
          </w:p>
        </w:tc>
        <w:tc>
          <w:tcPr>
            <w:tcW w:type="dxa" w:w="1038"/>
          </w:tcPr>
          <w:p>
            <w:r/>
            <w:r>
              <w:rPr>
                <w:rFonts w:ascii="Georgia" w:hAnsi="Georgia" w:eastAsia="Georgia"/>
                <w:b w:val="0"/>
                <w:i w:val="0"/>
                <w:sz w:val="20"/>
              </w:rPr>
              <w:t>8</w:t>
            </w:r>
          </w:p>
        </w:tc>
        <w:tc>
          <w:tcPr>
            <w:tcW w:type="dxa" w:w="1038"/>
          </w:tcPr>
          <w:p>
            <w:r/>
            <w:r>
              <w:rPr>
                <w:rFonts w:ascii="Georgia" w:hAnsi="Georgia" w:eastAsia="Georgia"/>
                <w:b w:val="0"/>
                <w:i w:val="0"/>
                <w:sz w:val="20"/>
              </w:rPr>
              <w:t>0.60</w:t>
            </w:r>
          </w:p>
        </w:tc>
      </w:tr>
      <w:tr>
        <w:tc>
          <w:tcPr>
            <w:tcW w:type="dxa" w:w="1038"/>
          </w:tcPr>
          <w:p>
            <w:r/>
            <w:r>
              <w:rPr>
                <w:rFonts w:ascii="Georgia" w:hAnsi="Georgia" w:eastAsia="Georgia"/>
                <w:b w:val="0"/>
                <w:i w:val="0"/>
                <w:sz w:val="20"/>
              </w:rPr>
              <w:t>Biology</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4,509</w:t>
            </w:r>
          </w:p>
        </w:tc>
        <w:tc>
          <w:tcPr>
            <w:tcW w:type="dxa" w:w="1038"/>
          </w:tcPr>
          <w:p>
            <w:r/>
            <w:r>
              <w:rPr>
                <w:rFonts w:ascii="Georgia" w:hAnsi="Georgia" w:eastAsia="Georgia"/>
                <w:b w:val="0"/>
                <w:i w:val="0"/>
                <w:sz w:val="20"/>
              </w:rPr>
              <w:t>25</w:t>
            </w:r>
          </w:p>
        </w:tc>
        <w:tc>
          <w:tcPr>
            <w:tcW w:type="dxa" w:w="1038"/>
          </w:tcPr>
          <w:p>
            <w:r/>
            <w:r>
              <w:rPr>
                <w:rFonts w:ascii="Georgia" w:hAnsi="Georgia" w:eastAsia="Georgia"/>
                <w:b w:val="0"/>
                <w:i w:val="0"/>
                <w:sz w:val="20"/>
              </w:rPr>
              <w:t>35</w:t>
            </w:r>
          </w:p>
        </w:tc>
        <w:tc>
          <w:tcPr>
            <w:tcW w:type="dxa" w:w="1038"/>
          </w:tcPr>
          <w:p>
            <w:r/>
            <w:r>
              <w:rPr>
                <w:rFonts w:ascii="Georgia" w:hAnsi="Georgia" w:eastAsia="Georgia"/>
                <w:b w:val="0"/>
                <w:i w:val="0"/>
                <w:sz w:val="20"/>
              </w:rPr>
              <w:t>10</w:t>
            </w:r>
          </w:p>
        </w:tc>
        <w:tc>
          <w:tcPr>
            <w:tcW w:type="dxa" w:w="1038"/>
          </w:tcPr>
          <w:p>
            <w:r/>
            <w:r>
              <w:rPr>
                <w:rFonts w:ascii="Georgia" w:hAnsi="Georgia" w:eastAsia="Georgia"/>
                <w:b w:val="0"/>
                <w:i w:val="0"/>
                <w:sz w:val="20"/>
              </w:rPr>
              <w:t>7</w:t>
            </w:r>
          </w:p>
        </w:tc>
        <w:tc>
          <w:tcPr>
            <w:tcW w:type="dxa" w:w="1038"/>
          </w:tcPr>
          <w:p>
            <w:r/>
            <w:r>
              <w:rPr>
                <w:rFonts w:ascii="Georgia" w:hAnsi="Georgia" w:eastAsia="Georgia"/>
                <w:b w:val="0"/>
                <w:i w:val="0"/>
                <w:sz w:val="20"/>
              </w:rPr>
              <w:t>0.55</w:t>
            </w:r>
          </w:p>
        </w:tc>
      </w:tr>
      <w:tr>
        <w:tc>
          <w:tcPr>
            <w:tcW w:type="dxa" w:w="1038"/>
          </w:tcPr>
          <w:p>
            <w:r/>
            <w:r>
              <w:rPr>
                <w:rFonts w:ascii="Georgia" w:hAnsi="Georgia" w:eastAsia="Georgia"/>
                <w:b w:val="0"/>
                <w:i w:val="0"/>
                <w:sz w:val="20"/>
              </w:rPr>
              <w:t>Veterinary Medicine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5,060</w:t>
            </w:r>
          </w:p>
        </w:tc>
        <w:tc>
          <w:tcPr>
            <w:tcW w:type="dxa" w:w="1038"/>
          </w:tcPr>
          <w:p>
            <w:r/>
            <w:r>
              <w:rPr>
                <w:rFonts w:ascii="Georgia" w:hAnsi="Georgia" w:eastAsia="Georgia"/>
                <w:b w:val="0"/>
                <w:i w:val="0"/>
                <w:sz w:val="20"/>
              </w:rPr>
              <w:t>9</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0.18</w:t>
            </w:r>
          </w:p>
        </w:tc>
      </w:tr>
      <w:tr>
        <w:tc>
          <w:tcPr>
            <w:tcW w:type="dxa" w:w="1038"/>
          </w:tcPr>
          <w:p>
            <w:r/>
            <w:r>
              <w:rPr>
                <w:rFonts w:ascii="Georgia" w:hAnsi="Georgia" w:eastAsia="Georgia"/>
                <w:b w:val="0"/>
                <w:i w:val="0"/>
                <w:sz w:val="20"/>
              </w:rPr>
              <w:t>Total</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13,869</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63</w:t>
            </w:r>
          </w:p>
        </w:tc>
        <w:tc>
          <w:tcPr>
            <w:tcW w:type="dxa" w:w="1038"/>
          </w:tcPr>
          <w:p>
            <w:r/>
            <w:r>
              <w:rPr>
                <w:rFonts w:ascii="Georgia" w:hAnsi="Georgia" w:eastAsia="Georgia"/>
                <w:b w:val="0"/>
                <w:i w:val="0"/>
                <w:sz w:val="20"/>
              </w:rPr>
              <w:t>37</w:t>
            </w:r>
          </w:p>
        </w:tc>
        <w:tc>
          <w:tcPr>
            <w:tcW w:type="dxa" w:w="1038"/>
          </w:tcPr>
          <w:p>
            <w:r/>
            <w:r>
              <w:rPr>
                <w:rFonts w:ascii="Georgia" w:hAnsi="Georgia" w:eastAsia="Georgia"/>
                <w:b w:val="0"/>
                <w:i w:val="0"/>
                <w:sz w:val="20"/>
              </w:rPr>
              <w:t>28</w:t>
            </w:r>
          </w:p>
        </w:tc>
        <w:tc>
          <w:tcPr>
            <w:tcW w:type="dxa" w:w="1038"/>
          </w:tcPr>
          <w:p>
            <w:r/>
            <w:r>
              <w:rPr>
                <w:rFonts w:ascii="Georgia" w:hAnsi="Georgia" w:eastAsia="Georgia"/>
                <w:b w:val="0"/>
                <w:i w:val="0"/>
                <w:sz w:val="20"/>
              </w:rPr>
              <w:t>0.43</w:t>
            </w:r>
          </w:p>
        </w:tc>
      </w:tr>
    </w:tbl>
    <w:p>
      <w:pPr>
        <w:spacing w:line="480" w:lineRule="auto" w:before="0" w:after="40"/>
        <w:ind w:firstLine="720"/>
        <w:jc w:val="both"/>
      </w:pPr>
      <w:r>
        <w:rPr>
          <w:rFonts w:ascii="Georgia" w:hAnsi="Georgia" w:eastAsia="Georgia"/>
          <w:b w:val="0"/>
          <w:i w:val="0"/>
          <w:sz w:val="22"/>
        </w:rPr>
      </w:r>
    </w:p>
    <w:p>
      <w:pPr>
        <w:spacing w:line="240" w:lineRule="auto" w:before="0" w:after="80"/>
        <w:ind w:firstLine="720"/>
        <w:jc w:val="both"/>
      </w:pPr>
      <w:r>
        <w:rPr>
          <w:rFonts w:ascii="Georgia" w:hAnsi="Georgia" w:eastAsia="Georgia"/>
          <w:b w:val="0"/>
          <w:i w:val="0"/>
          <w:sz w:val="22"/>
        </w:rPr>
        <w:t>Table 4 shows that Agriculture had the highest hedge density at 0.60 per 100 words (26 hedges across 4,300 words), followed by Biology at 0.55 (25 hedges across 4,509 words), and Veterinary Medicine at 0.18 (9 hedges across 5,060 words). The overall corpus density was 0.43 hedges per 100 words. Agriculture’s lead over Biology is modest (0.05 hedges per 100 words), but Veterinary Medicine’s density is notably lower than both, at approximately one-third of Agriculture’s rate and one-third of Biology’s.</w:t>
      </w:r>
    </w:p>
    <w:p>
      <w:pPr>
        <w:spacing w:line="240" w:lineRule="auto" w:before="0" w:after="80"/>
        <w:ind w:firstLine="720"/>
        <w:jc w:val="both"/>
      </w:pPr>
      <w:r>
        <w:rPr>
          <w:rFonts w:ascii="Georgia" w:hAnsi="Georgia" w:eastAsia="Georgia"/>
          <w:b w:val="0"/>
          <w:i w:val="0"/>
          <w:sz w:val="22"/>
        </w:rPr>
        <w:t>The zero-hedge abstract count further sharpens this contrast. Of the 60 abstracts, 28 (46.7%) contained zero hedge tokens. Veterinary Medicine accounted for 13 of these zero-hedge abstracts (65% of VM abstracts), Biology for 7 (35%), and Agriculture for 8 (40%). The overrepresentation of Veterinary Medicine in the zero-hedge category is the primary driver of its low density. More than half of VM abstracts contained no hedging devices at all, compared to 40% in Agriculture and 35% in Biology. A chi-square test of independence on the zero-hedge distribution across disciplines (discipline × zero/nonzero) was not significant (χ² = 4.15, df = 2, p = 0.13), indicating that the observed disciplinary differences in zero-hedge rates do not reach statistical significance with the current sample size.</w:t>
      </w:r>
    </w:p>
    <w:p>
      <w:pPr>
        <w:spacing w:line="240" w:lineRule="auto" w:before="0" w:after="80"/>
        <w:ind w:firstLine="720"/>
        <w:jc w:val="both"/>
      </w:pPr>
      <w:r>
        <w:rPr>
          <w:rFonts w:ascii="Georgia" w:hAnsi="Georgia" w:eastAsia="Georgia"/>
          <w:b w:val="0"/>
          <w:i w:val="0"/>
          <w:sz w:val="22"/>
        </w:rPr>
        <w:t>Per-abstract hedge distributions reveal substantial skew. Agriculture abstracts averaged 1.30 hedges (median = 1, SD = 1.84, range = 0–8), Biology averaged 1.25 (median = 1, SD = 1.25, range = 0–4), and Veterinary Medicine averaged 0.45 (median = 0, SD = 0.76, range = 0–3). The high standard deviation in Agriculture reflects the influence of Acs2, which contained 8 hedges alone. When Acs2 is excluded as a sensitivity check, Agriculture's density drops to 0.44 per 100 words, below Biology's 0.55, suggesting that the Agriculture &gt; Biology ranking is partly driven by a single outlier abstract. An exploratory Kruskal-Wallis test on per-abstract hedge counts yielded H = 6.02, p = .049, suggesting a possible difference in the distribution of hedge counts across disciplines. Given the small sample size and zero-inflated distribution, this result should be treated as preliminary rather than as strong evidence of disciplinary differences.</w:t>
      </w:r>
    </w:p>
    <w:p>
      <w:pPr>
        <w:spacing w:line="240" w:lineRule="auto" w:before="0" w:after="80"/>
        <w:ind w:firstLine="720"/>
        <w:jc w:val="both"/>
      </w:pPr>
      <w:r>
        <w:rPr>
          <w:rFonts w:ascii="Georgia" w:hAnsi="Georgia" w:eastAsia="Georgia"/>
          <w:b w:val="0"/>
          <w:i w:val="0"/>
          <w:sz w:val="22"/>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p>
    <w:p>
      <w:pPr>
        <w:spacing w:line="240" w:lineRule="auto" w:before="0" w:after="80"/>
        <w:ind w:firstLine="720"/>
        <w:jc w:val="both"/>
      </w:pPr>
      <w:r>
        <w:rPr>
          <w:rFonts w:ascii="Georgia" w:hAnsi="Georgia" w:eastAsia="Georgia"/>
          <w:b w:val="0"/>
          <w:i w:val="0"/>
          <w:sz w:val="22"/>
        </w:rPr>
        <w:t>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p>
    <w:p>
      <w:pPr>
        <w:spacing w:line="240" w:lineRule="auto" w:before="0" w:after="80"/>
        <w:ind w:firstLine="720"/>
        <w:jc w:val="both"/>
      </w:pPr>
      <w:r>
        <w:rPr>
          <w:rFonts w:ascii="Georgia" w:hAnsi="Georgia" w:eastAsia="Georgia"/>
          <w:b w:val="0"/>
          <w:i w:val="0"/>
          <w:sz w:val="22"/>
        </w:rPr>
        <w:t>The false positive distribution also varies by discipline. Biology produced 35 false positives, far more than Agriculture (15) or Veterinary Medicine (13).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p>
    <w:p>
      <w:pPr>
        <w:keepNext/>
        <w:keepLines/>
        <w:spacing w:before="0" w:after="80" w:line="240" w:lineRule="auto"/>
        <w:jc w:val="left"/>
      </w:pPr>
      <w:r>
        <w:rPr>
          <w:rFonts w:ascii="Georgia" w:hAnsi="Georgia" w:eastAsia="Georgia"/>
          <w:b/>
          <w:i w:val="0"/>
          <w:sz w:val="24"/>
        </w:rPr>
        <w:t>PART III: RHETORICAL FUNCTIONS OF HEDGING DEVICES</w:t>
      </w:r>
    </w:p>
    <w:p>
      <w:pPr>
        <w:spacing w:line="240" w:lineRule="auto" w:before="0" w:after="80"/>
        <w:ind w:firstLine="720"/>
        <w:jc w:val="both"/>
      </w:pPr>
      <w:r>
        <w:rPr>
          <w:rFonts w:ascii="Georgia" w:hAnsi="Georgia" w:eastAsia="Georgia"/>
          <w:b w:val="0"/>
          <w:i w:val="0"/>
          <w:sz w:val="22"/>
        </w:rPr>
        <w:t>All 60 hedge tokens in the corpus served the function of Epistemic Caution (EC). No instances of Politeness/Deference (P) or Discourse Organization (DO) were identified. Table 5 presents the function distribution.</w:t>
      </w:r>
    </w:p>
    <w:p>
      <w:pPr>
        <w:spacing w:before="0" w:after="80" w:line="240" w:lineRule="auto"/>
      </w:pPr>
      <w:r>
        <w:rPr>
          <w:rFonts w:ascii="Georgia" w:hAnsi="Georgia" w:eastAsia="Georgia"/>
          <w:b/>
          <w:i w:val="0"/>
          <w:sz w:val="22"/>
        </w:rPr>
        <w:t>Table 5</w:t>
      </w:r>
    </w:p>
    <w:p>
      <w:pPr>
        <w:spacing w:after="80" w:before="0" w:line="240" w:lineRule="auto"/>
      </w:pPr>
      <w:r>
        <w:rPr>
          <w:rFonts w:ascii="Georgia" w:hAnsi="Georgia" w:eastAsia="Georgia"/>
          <w:b w:val="0"/>
          <w:i/>
          <w:sz w:val="22"/>
        </w:rPr>
        <w:t>Hedge Function Distribution</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Function</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Epistemic Caution (EC)</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r>
        <w:tc>
          <w:tcPr>
            <w:tcW w:type="dxa" w:w="2769"/>
          </w:tcPr>
          <w:p>
            <w:r/>
            <w:r>
              <w:rPr>
                <w:rFonts w:ascii="Georgia" w:hAnsi="Georgia" w:eastAsia="Georgia"/>
                <w:b w:val="0"/>
                <w:i w:val="0"/>
                <w:sz w:val="20"/>
              </w:rPr>
              <w:t>Politeness/Deference (P)</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Discourse Organization (DO)</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40"/>
        <w:ind w:firstLine="720"/>
        <w:jc w:val="both"/>
      </w:pPr>
      <w:r>
        <w:rPr>
          <w:rFonts w:ascii="Georgia" w:hAnsi="Georgia" w:eastAsia="Georgia"/>
          <w:b w:val="0"/>
          <w:i w:val="0"/>
          <w:sz w:val="22"/>
        </w:rPr>
      </w:r>
    </w:p>
    <w:p>
      <w:pPr>
        <w:spacing w:line="240" w:lineRule="auto" w:before="0" w:after="80"/>
        <w:ind w:firstLine="720"/>
        <w:jc w:val="both"/>
      </w:pPr>
      <w:r>
        <w:t xml:space="preserve">All 60 retained hedges were coded as Epistemic Caution. No politeness or discourse-organization functions appear. The uniform assignment may reflect a restricted repertoire, the compressed abstract genre, the coding scheme, or single-rater interpretation; the limitation is noted in Scope. The narrow functional range is consistent with earlier findings on developing L2 writers (Hyland &amp; Milton, 1997).</w:t>
      </w:r>
    </w:p>
    <w:p>
      <w:pPr>
        <w:spacing w:line="240" w:lineRule="auto" w:before="0" w:after="80"/>
        <w:ind w:firstLine="720"/>
        <w:jc w:val="both"/>
      </w:pPr>
      <w:r>
        <w:rPr>
          <w:rFonts w:ascii="Georgia" w:hAnsi="Georgia" w:eastAsia="Georgia"/>
          <w:b w:val="0"/>
          <w:i w:val="0"/>
          <w:sz w:val="22"/>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w:t>
      </w:r>
    </w:p>
    <w:p>
      <w:pPr>
        <w:spacing w:line="480" w:lineRule="auto" w:before="0" w:after="40"/>
        <w:ind w:firstLine="720"/>
        <w:jc w:val="both"/>
      </w:pPr>
      <w:r>
        <w:t xml:space="preserve"/>
      </w:r>
    </w:p>
    <w:p>
      <w:pPr>
        <w:spacing w:line="240" w:lineRule="auto" w:before="0" w:after="80"/>
        <w:ind w:firstLine="720"/>
        <w:jc w:val="both"/>
      </w:pPr>
      <w:r>
        <w:rPr>
          <w:rFonts w:ascii="Georgia" w:hAnsi="Georgia" w:eastAsia="Georgia"/>
          <w:b w:val="0"/>
          <w:i w:val="0"/>
          <w:sz w:val="22"/>
        </w:rPr>
        <w:t>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p>
    <w:p>
      <w:pPr>
        <w:keepNext/>
        <w:keepLines/>
        <w:spacing w:before="0" w:after="80" w:line="240" w:lineRule="auto"/>
        <w:jc w:val="left"/>
      </w:pPr>
      <w:r>
        <w:rPr>
          <w:rFonts w:ascii="Georgia" w:hAnsi="Georgia" w:eastAsia="Georgia"/>
          <w:b/>
          <w:i w:val="0"/>
          <w:sz w:val="24"/>
        </w:rPr>
        <w:t>PART IV: DISCIPLINE-SPECIFIC HEDGING PROFILES</w:t>
      </w:r>
    </w:p>
    <w:p>
      <w:pPr>
        <w:spacing w:line="240" w:lineRule="auto" w:before="0" w:after="80"/>
        <w:ind w:firstLine="720"/>
        <w:jc w:val="both"/>
      </w:pPr>
      <w:r>
        <w:t>The frequency and functional patterns identified in Parts I through III reveal three observable patterns within this corpus. Given the small sample (n = 20 per discipline) and the borderline statistical support (Kruskal-Wallis p = .049; chi-square on zero-hedge distribution p = .13, which does not reach the conventional threshold of p &lt; .05), these patterns are exploratory observations rather than established typologies. The labels below describe what was observed in this corpus; they should not be read as stable discipline-level characteristics. Generalization beyond this corpus and beyond the three observed disciplines is not warranted. The patterns are interpreted through the lens of Salager-Meyer's (1994) claim-responsibility framework and Hyland's (2005) stance model.</w:t>
      </w:r>
    </w:p>
    <w:p>
      <w:pPr>
        <w:spacing w:line="240" w:lineRule="auto" w:before="0" w:after="80"/>
        <w:ind w:firstLine="720"/>
        <w:jc w:val="both"/>
      </w:pPr>
      <w:r>
        <w:t>Agriculture: An observed pattern suggestive of cautious implication, though outlier-dependent. Agriculture's hedge density (0.60 per 100 words) is partly driven by a single outlier abstract (Acs2, which alone contained 8 hedges). Without Acs2, Agriculture drops below Biology (0.44 vs. 0.55 per 100 words), making the Agriculture-Biology contrast marginal and not robust. The Agriculture-Biology difference is therefore better characterized as marginal and outlier-driven than as a stable disciplinary pattern. Within this caveat, the balanced use of modal verbs (14) and lexical hedges (12) in the observed data suggests a tendency toward cautious implication in this corpus. Agricultural writers in this corpus frequently hedged their implications rather than their direct results. The token “potential” appeared 4 times, and “suggests” appeared 4 times, both typically in conclusion sentences where writers drew out the practical significance of their findings. This pattern reflects what Salager-Meyer (1994) describes as distributed claim responsibility: the writer presents the finding as settled (e.g., “results showed no significant difference”) but hedges the implication (e.g., “this suggests that Trichoderma and fermented azolla at proper application frequencies could be beneficial”). The finding is stated with certainty, while the application is hedged. This may reflect the practical orientation of agricultural research, where findings have direct implications for farming practices and economic outcomes.</w:t>
      </w:r>
    </w:p>
    <w:p>
      <w:pPr>
        <w:spacing w:line="240" w:lineRule="auto" w:before="0" w:after="80"/>
        <w:ind w:firstLine="720"/>
        <w:jc w:val="both"/>
      </w:pPr>
      <w:r>
        <w:rPr>
          <w:rFonts w:ascii="Georgia" w:hAnsi="Georgia" w:eastAsia="Georgia"/>
          <w:b w:val="0"/>
          <w:i w:val="0"/>
          <w:sz w:val="22"/>
        </w:rPr>
        <w:t>Biology: A pattern suggestive of lexical caution with topic-naming. Biology’s moderate density (0.55) is driven almost entirely by lexical hedges (17 of 25 hedges, 68.0%), with only 5 modal verbs. The dominance of “potential” (7 instances) and “indicating” (3 instances) as the top tokens suggests that Biology writers hedge at the level of implication rather than at the level of finding. The high false positive count (35) in Biology reflects the frequent use of “potential” in aim statements, as in “this study aimed to identify the histoprotective potential of Balakat extract”, where the word names a research topic rather than qualifying a claim. This creates a paradox: Biology abstracts use hedge-like vocabulary frequently, but much of it is non-epistemic. The genuine epistemic caution is concentrated in conclusion sentences, where “suggesting” and “potential” qualify what the findings mean for future applications.</w:t>
      </w:r>
    </w:p>
    <w:p>
      <w:pPr>
        <w:spacing w:line="240" w:lineRule="auto" w:before="0" w:after="80"/>
        <w:ind w:firstLine="720"/>
        <w:jc w:val="both"/>
      </w:pPr>
      <w:r>
        <w:rPr>
          <w:rFonts w:ascii="Georgia" w:hAnsi="Georgia" w:eastAsia="Georgia"/>
          <w:b w:val="0"/>
          <w:i w:val="0"/>
          <w:sz w:val="22"/>
        </w:rPr>
        <w:t>Veterinary Medicine: A pattern suggestive of assertive reporting. Veterinary Medicine’s extremely low density (0.18) and high zero-hedge rate (65% of abstracts) suggest a pattern of assertive reporting. VM abstracts in this corpus predominantly used factive verbs (showed, revealed, demonstrated, confirmed) without qualification. The 15 unhedged assertion sites in VM abstracts (the highest among the three disciplines) further indicate that VM writers state their findings as settled facts rather than as tentative conclusions. This pattern may reflect the nature of VM research. One plausible explanation is that VM research often involves diagnostic testing and clinical outcomes that produce binary results. When a test shows “no positive results were observed,” there is little epistemic space for hedging. This is consistent with Salager-Meyer’s (1994) claim-responsibility framework: when the evidence is binary, the epistemic responsibility is lower, and hedging becomes less necessary. The competing explanation, that VM developing researchers simply lack awareness of hedging conventions, cannot be ruled out. However, the fact that VM abstracts also produce the highest count of unhedged assertion sites (15) suggests a systematic pattern of categorical reporting rather than random omission.</w:t>
      </w:r>
    </w:p>
    <w:p>
      <w:pPr>
        <w:spacing w:line="240" w:lineRule="auto" w:before="0" w:after="80"/>
        <w:ind w:firstLine="720"/>
        <w:jc w:val="both"/>
      </w:pPr>
      <w:r>
        <w:rPr>
          <w:rFonts w:ascii="Georgia" w:hAnsi="Georgia" w:eastAsia="Georgia"/>
          <w:b w:val="0"/>
          <w:i w:val="0"/>
          <w:sz w:val="22"/>
        </w:rPr>
        <w:t>Cross-disciplinary comparison reveals a pattern that does not map neatly onto the hard/soft science distinction. Agriculture, typically classified as an applied science, hedges more than Biology, a basic science. Veterinary Medicine, which is clinically applied, hedges least of all. This finding aligns with Salager-Meyer’s (1994) argument that hedging density depends on the specific epistemic demands of a field rather than on a single dimension of disciplinary hardness. The differing orientations toward evidence (agricultural field variability, biological laboratory control, and veterinary clinical outcomes) may create distinct epistemic demands that shape how writers manage claim responsibility, even at the undergraduate level. The most robust disciplinary finding in this corpus is the Veterinary Medicine distinction: its 65% zero-hedge rate and 0.18 density are substantially different from both Agriculture and Biology, while the Agriculture-Biology difference is marginal and partly outlier-driven.</w:t>
      </w:r>
    </w:p>
    <w:p>
      <w:pPr>
        <w:spacing w:line="240" w:lineRule="auto" w:before="0" w:after="80"/>
        <w:ind w:firstLine="720"/>
        <w:jc w:val="both"/>
      </w:pPr>
      <w:r>
        <w:rPr>
          <w:rFonts w:ascii="Georgia" w:hAnsi="Georgia" w:eastAsia="Georgia"/>
          <w:b w:val="0"/>
          <w:i w:val="0"/>
          <w:sz w:val="22"/>
        </w:rPr>
        <w:t>An informal review of the 60 hedge tokens suggests that the majority are concentrated in implication and conclusion sentences rather than in direct results reporting. Tokens such as “potential” (14 instances) and “suggests/suggesting” (10 instances) predominantly appear in sentences that frame what findings mean for future applications, while direct result sentences more commonly use factive verbs (showed, revealed, demonstrated) without qualification. This pattern is most pronounced in Agriculture, where hedges cluster in the implication move, and least pronounced in Veterinary Medicine, where both results and implications are stated categorically. A formal move-structured analysis would be needed to quantify this distribution precisely, but the qualitative pattern supports the interpretation that developing researchers hedge the implications of their findings while reporting the findings themselves as settled fact.</w:t>
      </w:r>
    </w:p>
    <w:p>
      <w:pPr>
        <w:spacing w:line="240" w:lineRule="auto" w:before="0" w:after="80"/>
        <w:ind w:firstLine="720"/>
        <w:jc w:val="both"/>
      </w:pPr>
      <w:r>
        <w:rPr>
          <w:rFonts w:ascii="Georgia" w:hAnsi="Georgia" w:eastAsia="Georgia"/>
          <w:b w:val="0"/>
          <w:i w:val="0"/>
          <w:sz w:val="22"/>
        </w:rPr>
        <w:t>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p>
    <w:p>
      <w:pPr>
        <w:spacing w:line="240" w:lineRule="auto" w:before="0" w:after="80"/>
        <w:ind w:firstLine="720"/>
        <w:jc w:val="both"/>
      </w:pPr>
      <w:r>
        <w:t xml:space="preserve">Three observations support a descriptive label of pro forma hedging, not a confirmed construct: (1) potential accounts for 38.9% of lexical hedges and recurs in near-identical frames; (2) all retained hedges serve a single function; (3) 46.7% of abstracts contain no hedges at all. When hedging appears, it often looks like a learned lexical shell rather than calibrated stance. The label aligns with Demir’s (2018) account of L2 underuse and Petchkij’s (2019) observation that instruction can raise frequency without fully expanding functional range. It remains a hypothesis for replication with inter-rater coding and expert-abstract comparison.</w:t>
      </w:r>
    </w:p>
    <w:p>
      <w:pPr>
        <w:spacing w:line="480" w:lineRule="auto" w:before="0" w:after="40"/>
        <w:ind w:firstLine="720"/>
        <w:jc w:val="both"/>
      </w:pPr>
      <w:r>
        <w:t xml:space="preserve"/>
      </w:r>
    </w:p>
    <w:p>
      <w:pPr>
        <w:spacing w:after="40" w:before="0"/>
        <w:sectPr>
          <w:headerReference w:type="default" r:id="rId14"/>
          <w:headerReference w:type="first" r:id="rId15"/>
          <w:pgSz w:w="11906" w:h="16838"/>
          <w:pgMar w:top="1440" w:right="1440" w:bottom="1440" w:left="2160" w:header="720" w:footer="720" w:gutter="0"/>
          <w:cols w:space="720"/>
          <w:titlePg/>
          <w:docGrid w:linePitch="360"/>
        </w:sectPr>
      </w:pP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keepNext/>
        <w:keepLines/>
        <w:spacing w:before="0" w:after="80" w:line="240" w:lineRule="auto"/>
        <w:jc w:val="center"/>
      </w:pPr>
      <w:r>
        <w:rPr>
          <w:rFonts w:ascii="Georgia" w:hAnsi="Georgia" w:eastAsia="Georgia"/>
          <w:b/>
          <w:i w:val="0"/>
          <w:sz w:val="28"/>
        </w:rPr>
        <w:t>CONCLUSIONS AND RECOMMENDATIONS</w:t>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spacing w:line="240" w:lineRule="auto" w:before="0" w:after="80"/>
        <w:ind w:firstLine="720"/>
        <w:jc w:val="both"/>
      </w:pPr>
      <w:r>
        <w:rPr>
          <w:rFonts w:ascii="Georgia" w:hAnsi="Georgia" w:eastAsia="Georgia"/>
          <w:b w:val="0"/>
          <w:i w:val="0"/>
          <w:sz w:val="22"/>
        </w:rPr>
        <w:t xml:space="preserve">This study mapped hedging in 60 undergraduate thesis abstracts across Agriculture, Veterinary Medicine, and Biology at PSAU.</w:t>
      </w:r>
    </w:p>
    <w:p>
      <w:pPr>
        <w:keepNext/>
        <w:keepLines/>
        <w:spacing w:before="0" w:after="80" w:line="240" w:lineRule="auto"/>
        <w:jc w:val="left"/>
      </w:pPr>
      <w:r>
        <w:rPr>
          <w:rFonts w:ascii="Georgia" w:hAnsi="Georgia" w:eastAsia="Georgia"/>
          <w:b/>
          <w:i w:val="0"/>
          <w:sz w:val="24"/>
        </w:rPr>
        <w:t>CONCLUSIONS</w:t>
      </w:r>
    </w:p>
    <w:p>
      <w:pPr>
        <w:spacing w:line="240" w:lineRule="auto" w:before="0" w:after="80"/>
        <w:ind w:firstLine="720"/>
        <w:jc w:val="both"/>
      </w:pPr>
      <w:r>
        <w:rPr>
          <w:rFonts w:ascii="Georgia" w:hAnsi="Georgia" w:eastAsia="Georgia"/>
          <w:b w:val="0"/>
          <w:i w:val="0"/>
          <w:sz w:val="22"/>
        </w:rPr>
        <w:t xml:space="preserve">Lexical hedges outnumber modal verbs (60.0% vs 35.0%), inverting the modal-dominant pattern common in developing-researcher studies (Khunasathitchai et al., 2025; Wang, 2022), largely because of formulaic potential. Density is highest in Agriculture (0.60 per 100 words), then Biology (0.55), then Veterinary Medicine (0.18). Nearly half of abstracts contain no coded hedges; Veterinary Medicine alone accounts for a 65% zero-hedge rate. Every retained hedge serves Epistemic Caution.</w:t>
      </w:r>
    </w:p>
    <w:p>
      <w:pPr>
        <w:spacing w:line="240" w:lineRule="auto" w:before="0" w:after="80"/>
        <w:ind w:firstLine="720"/>
        <w:jc w:val="both"/>
      </w:pPr>
      <w:r>
        <w:rPr>
          <w:rFonts w:ascii="Georgia" w:hAnsi="Georgia" w:eastAsia="Georgia"/>
          <w:b w:val="0"/>
          <w:i w:val="0"/>
          <w:sz w:val="22"/>
        </w:rPr>
        <w:t xml:space="preserve">Disciplinary differentiation is present but uneven. Veterinary Medicine’s sparse, assertive profile is the clearest contrast. Agriculture’s edge over Biology is modest and sensitive to a single outlier. The patterns are consistent with field-specific epistemic demands (Salager-Meyer, 1994) operating even among developing writers, but statistical evidence is borderline (Kruskal-Wallis p = .049) and the sample is small. The study provides a local baseline, not a general law.</w:t>
      </w:r>
    </w:p>
    <w:p>
      <w:pPr>
        <w:spacing w:line="480" w:lineRule="auto" w:before="0" w:after="40"/>
        <w:ind w:firstLine="720"/>
        <w:jc w:val="both"/>
      </w:pPr>
      <w:r>
        <w:rPr>
          <w:rFonts w:ascii="Georgia" w:hAnsi="Georgia" w:eastAsia="Georgia"/>
          <w:b w:val="0"/>
          <w:i w:val="0"/>
          <w:sz w:val="22"/>
        </w:rPr>
        <w:t xml:space="preserve"/>
      </w:r>
    </w:p>
    <w:p>
      <w:pPr>
        <w:spacing w:line="480" w:lineRule="auto" w:before="0" w:after="40"/>
        <w:ind w:firstLine="720"/>
        <w:jc w:val="both"/>
      </w:pPr>
      <w:r>
        <w:t xml:space="preserve"/>
      </w:r>
    </w:p>
    <w:p>
      <w:pPr>
        <w:spacing w:line="480" w:lineRule="auto" w:before="0" w:after="40"/>
        <w:ind w:firstLine="720"/>
        <w:jc w:val="both"/>
      </w:pPr>
      <w:r>
        <w:rPr>
          <w:rFonts w:ascii="Georgia" w:hAnsi="Georgia" w:eastAsia="Georgia"/>
          <w:b w:val="0"/>
          <w:i w:val="0"/>
          <w:sz w:val="22"/>
        </w:rPr>
        <w:t xml:space="preserve"/>
      </w:r>
    </w:p>
    <w:p>
      <w:pPr>
        <w:spacing w:line="480" w:lineRule="auto" w:before="0" w:after="40"/>
        <w:ind w:firstLine="720"/>
        <w:jc w:val="both"/>
      </w:pPr>
      <w:r>
        <w:rPr>
          <w:rFonts w:ascii="Georgia" w:hAnsi="Georgia" w:eastAsia="Georgia"/>
          <w:b w:val="0"/>
          <w:i w:val="0"/>
          <w:sz w:val="22"/>
        </w:rPr>
        <w:t xml:space="preserve"/>
      </w:r>
    </w:p>
    <w:p>
      <w:pPr>
        <w:keepNext/>
        <w:keepLines/>
        <w:spacing w:before="0" w:after="80" w:line="240" w:lineRule="auto"/>
        <w:jc w:val="left"/>
      </w:pPr>
      <w:r>
        <w:rPr>
          <w:rFonts w:ascii="Georgia" w:hAnsi="Georgia" w:eastAsia="Georgia"/>
          <w:b/>
          <w:i w:val="0"/>
          <w:sz w:val="24"/>
        </w:rPr>
        <w:t>RECOMMENDATIONS</w:t>
      </w:r>
    </w:p>
    <w:p>
      <w:pPr>
        <w:spacing w:line="240" w:lineRule="auto" w:before="0" w:after="80"/>
        <w:ind w:firstLine="720"/>
        <w:jc w:val="both"/>
      </w:pPr>
      <w:r>
        <w:rPr>
          <w:rFonts w:ascii="Georgia" w:hAnsi="Georgia" w:eastAsia="Georgia"/>
          <w:b w:val="0"/>
          <w:i w:val="0"/>
          <w:sz w:val="22"/>
        </w:rPr>
        <w:t xml:space="preserve">Thesis advisers at PSAU should treat hedging as a teachable, discipline-sensitive skill rather than a generic call to “be cautious.” Feedback is most needed where zero-hedge rates are highest (Veterinary Medicine in this sample). Instruction should distinguish topic-naming potential in aim statements from epistemic potential in conclusions, and should expand beyond modal verbs toward adverbial and clause-level options where the genre allows.</w:t>
      </w:r>
    </w:p>
    <w:p>
      <w:pPr>
        <w:spacing w:line="240" w:lineRule="auto" w:before="0" w:after="80"/>
        <w:ind w:firstLine="720"/>
        <w:jc w:val="both"/>
      </w:pPr>
      <w:r>
        <w:rPr>
          <w:rFonts w:ascii="Georgia" w:hAnsi="Georgia" w:eastAsia="Georgia"/>
          <w:b w:val="0"/>
          <w:i w:val="0"/>
          <w:sz w:val="22"/>
        </w:rPr>
        <w:t>Table 6 offers a provisional, data-informed checklist that advisers may use as a starting point during supervision. It maps the most frequent hedging patterns observed in this small corpus to possible revision focuses. Because the underlying counts are low and the statistical contrasts are borderline, the checklist should be treated as exploratory guidance rather than a firm diagnostic of each discipline.</w:t>
      </w:r>
    </w:p>
    <w:p>
      <w:pPr>
        <w:spacing w:before="0" w:after="80" w:line="240" w:lineRule="auto"/>
      </w:pPr>
      <w:r>
        <w:rPr>
          <w:rFonts w:ascii="Georgia" w:hAnsi="Georgia" w:eastAsia="Georgia"/>
          <w:b/>
          <w:i w:val="0"/>
          <w:sz w:val="22"/>
        </w:rPr>
        <w:t>Table 6</w:t>
      </w:r>
    </w:p>
    <w:p>
      <w:pPr>
        <w:spacing w:after="80" w:before="0" w:line="240" w:lineRule="auto"/>
      </w:pPr>
      <w:r>
        <w:rPr>
          <w:rFonts w:ascii="Georgia" w:hAnsi="Georgia" w:eastAsia="Georgia"/>
          <w:b w:val="0"/>
          <w:i/>
          <w:sz w:val="22"/>
        </w:rPr>
        <w:t>Discipline-Specific Abstract Revision Checklist for Thesis Advisers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Discipline</w:t>
            </w:r>
          </w:p>
        </w:tc>
        <w:tc>
          <w:tcPr>
            <w:tcW w:type="dxa" w:w="2769"/>
          </w:tcPr>
          <w:p>
            <w:r/>
            <w:r>
              <w:rPr>
                <w:rFonts w:ascii="Georgia" w:hAnsi="Georgia" w:eastAsia="Georgia"/>
                <w:b/>
                <w:i w:val="0"/>
                <w:sz w:val="20"/>
              </w:rPr>
              <w:t>Observed Pattern</w:t>
            </w:r>
          </w:p>
        </w:tc>
        <w:tc>
          <w:tcPr>
            <w:tcW w:type="dxa" w:w="2769"/>
          </w:tcPr>
          <w:p>
            <w:r/>
            <w:r>
              <w:rPr>
                <w:rFonts w:ascii="Georgia" w:hAnsi="Georgia" w:eastAsia="Georgia"/>
                <w:b/>
                <w:i w:val="0"/>
                <w:sz w:val="20"/>
              </w:rPr>
              <w:t>Possible Focus</w:t>
            </w:r>
          </w:p>
        </w:tc>
      </w:tr>
      <w:tr>
        <w:tc>
          <w:tcPr>
            <w:tcW w:type="dxa" w:w="2769"/>
          </w:tcPr>
          <w:p>
            <w:r/>
            <w:r>
              <w:rPr>
                <w:rFonts w:ascii="Georgia" w:hAnsi="Georgia" w:eastAsia="Georgia"/>
                <w:b w:val="0"/>
                <w:i w:val="0"/>
                <w:sz w:val="20"/>
              </w:rPr>
              <w:t>Veterinary Medicine</w:t>
            </w:r>
          </w:p>
        </w:tc>
        <w:tc>
          <w:tcPr>
            <w:tcW w:type="dxa" w:w="2769"/>
          </w:tcPr>
          <w:p>
            <w:r/>
            <w:r>
              <w:rPr>
                <w:rFonts w:ascii="Georgia" w:hAnsi="Georgia" w:eastAsia="Georgia"/>
                <w:b w:val="0"/>
                <w:i w:val="0"/>
                <w:sz w:val="20"/>
              </w:rPr>
              <w:t>High zero-hedge rate (65% of abstracts in this sample)</w:t>
            </w:r>
          </w:p>
        </w:tc>
        <w:tc>
          <w:tcPr>
            <w:tcW w:type="dxa" w:w="2769"/>
          </w:tcPr>
          <w:p>
            <w:r/>
            <w:r>
              <w:rPr>
                <w:rFonts w:ascii="Georgia" w:hAnsi="Georgia" w:eastAsia="Georgia"/>
                <w:b w:val="0"/>
                <w:i w:val="0"/>
                <w:sz w:val="20"/>
              </w:rPr>
              <w:t>Insert 1–2 modal verbs (may, could) or lexical hedges (suggests, indicates) in the Implication move</w:t>
            </w:r>
          </w:p>
        </w:tc>
      </w:tr>
      <w:tr>
        <w:tc>
          <w:tcPr>
            <w:tcW w:type="dxa" w:w="2769"/>
          </w:tcPr>
          <w:p>
            <w:r/>
            <w:r>
              <w:rPr>
                <w:rFonts w:ascii="Georgia" w:hAnsi="Georgia" w:eastAsia="Georgia"/>
                <w:b w:val="0"/>
                <w:i w:val="0"/>
                <w:sz w:val="20"/>
              </w:rPr>
              <w:t>Biology</w:t>
            </w:r>
          </w:p>
        </w:tc>
        <w:tc>
          <w:tcPr>
            <w:tcW w:type="dxa" w:w="2769"/>
          </w:tcPr>
          <w:p>
            <w:r/>
            <w:r>
              <w:rPr>
                <w:rFonts w:ascii="Georgia" w:hAnsi="Georgia" w:eastAsia="Georgia"/>
                <w:b w:val="0"/>
                <w:i w:val="0"/>
                <w:sz w:val="20"/>
              </w:rPr>
              <w:t>Frequent topic-naming “potential” in aim statements</w:t>
            </w:r>
          </w:p>
        </w:tc>
        <w:tc>
          <w:tcPr>
            <w:tcW w:type="dxa" w:w="2769"/>
          </w:tcPr>
          <w:p>
            <w:r/>
            <w:r>
              <w:rPr>
                <w:rFonts w:ascii="Georgia" w:hAnsi="Georgia" w:eastAsia="Georgia"/>
                <w:b w:val="0"/>
                <w:i w:val="0"/>
                <w:sz w:val="20"/>
              </w:rPr>
              <w:t>Distinguish aim-statement “potential” (topic-naming) from conclusion-statement “potential” (epistemic hedge)</w:t>
            </w:r>
          </w:p>
        </w:tc>
      </w:tr>
      <w:tr>
        <w:tc>
          <w:tcPr>
            <w:tcW w:type="dxa" w:w="2769"/>
          </w:tcPr>
          <w:p>
            <w:r/>
            <w:r>
              <w:rPr>
                <w:rFonts w:ascii="Georgia" w:hAnsi="Georgia" w:eastAsia="Georgia"/>
                <w:b w:val="0"/>
                <w:i w:val="0"/>
                <w:sz w:val="20"/>
              </w:rPr>
              <w:t>Agriculture</w:t>
            </w:r>
          </w:p>
        </w:tc>
        <w:tc>
          <w:tcPr>
            <w:tcW w:type="dxa" w:w="2769"/>
          </w:tcPr>
          <w:p>
            <w:r/>
            <w:r>
              <w:rPr>
                <w:rFonts w:ascii="Georgia" w:hAnsi="Georgia" w:eastAsia="Georgia"/>
                <w:b w:val="0"/>
                <w:i w:val="0"/>
                <w:sz w:val="20"/>
              </w:rPr>
              <w:t>Frequent “suggest” + “can” constructions</w:t>
            </w:r>
          </w:p>
        </w:tc>
        <w:tc>
          <w:tcPr>
            <w:tcW w:type="dxa" w:w="2769"/>
          </w:tcPr>
          <w:p>
            <w:r/>
            <w:r>
              <w:rPr>
                <w:rFonts w:ascii="Georgia" w:hAnsi="Georgia" w:eastAsia="Georgia"/>
                <w:b w:val="0"/>
                <w:i w:val="0"/>
                <w:sz w:val="20"/>
              </w:rPr>
              <w:t>Introduce adverbial hedges (generally, typically) and clause-level hedges (it appears that) for variety</w:t>
            </w:r>
          </w:p>
        </w:tc>
      </w:tr>
    </w:tbl>
    <w:p>
      <w:pPr>
        <w:spacing w:line="480" w:lineRule="auto" w:before="0" w:after="40"/>
        <w:ind w:firstLine="720"/>
        <w:jc w:val="both"/>
      </w:pPr>
      <w:r>
        <w:rPr>
          <w:rFonts w:ascii="Georgia" w:hAnsi="Georgia" w:eastAsia="Georgia"/>
          <w:b w:val="0"/>
          <w:i w:val="0"/>
          <w:sz w:val="22"/>
        </w:rPr>
      </w:r>
    </w:p>
    <w:p>
      <w:pPr>
        <w:spacing w:line="240" w:lineRule="auto" w:before="0" w:after="80"/>
        <w:ind w:firstLine="720"/>
        <w:jc w:val="both"/>
      </w:pPr>
      <w:r>
        <w:rPr>
          <w:rFonts w:ascii="Georgia" w:hAnsi="Georgia" w:eastAsia="Georgia"/>
          <w:b w:val="0"/>
          <w:i w:val="0"/>
          <w:sz w:val="22"/>
        </w:rPr>
        <w:t>Future research should examine whether the disciplinary patterns observed in this study persist across multiple institutions and cohorts.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p>
    <w:p>
      <w:pPr>
        <w:spacing w:line="240" w:lineRule="auto" w:before="0" w:after="80"/>
        <w:ind w:firstLine="720"/>
        <w:jc w:val="both"/>
      </w:pPr>
      <w:r>
        <w:rPr>
          <w:rFonts w:ascii="Georgia" w:hAnsi="Georgia" w:eastAsia="Georgia"/>
          <w:b w:val="0"/>
          <w:i w:val="0"/>
          <w:sz w:val="22"/>
        </w:rPr>
        <w:t>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p>
    <w:p>
      <w:pPr>
        <w:spacing w:line="240" w:lineRule="auto" w:before="0" w:after="80"/>
        <w:ind w:firstLine="720"/>
        <w:jc w:val="both"/>
      </w:pPr>
      <w:r>
        <w:rPr>
          <w:rFonts w:ascii="Georgia" w:hAnsi="Georgia" w:eastAsia="Georgia"/>
          <w:b w:val="0"/>
          <w:i w:val="0"/>
          <w:sz w:val="22"/>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p>
    <w:p>
      <w:pPr>
        <w:spacing w:line="240" w:lineRule="auto" w:before="0" w:after="80"/>
        <w:ind w:firstLine="720"/>
        <w:jc w:val="both"/>
      </w:pPr>
      <w:r>
        <w:rPr>
          <w:rFonts w:ascii="Georgia" w:hAnsi="Georgia" w:eastAsia="Georgia"/>
          <w:b w:val="0"/>
          <w:i w:val="0"/>
          <w:sz w:val="22"/>
        </w:rPr>
        <w:t>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p>
    <w:p>
      <w:pPr>
        <w:spacing w:after="40" w:before="0"/>
        <w:sectPr>
          <w:headerReference w:type="default" r:id="rId16"/>
          <w:headerReference w:type="first" r:id="rId17"/>
          <w:pgSz w:w="11906" w:h="16838"/>
          <w:pgMar w:top="1440" w:right="1440" w:bottom="1440" w:left="2160" w:header="720" w:footer="720" w:gutter="0"/>
          <w:cols w:space="720"/>
          <w:titlePg/>
          <w:docGrid w:linePitch="360"/>
        </w:sectPr>
      </w:pP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keepNext/>
        <w:keepLines/>
        <w:spacing w:before="0" w:after="80" w:line="240" w:lineRule="auto"/>
        <w:jc w:val="center"/>
      </w:pPr>
      <w:r>
        <w:rPr>
          <w:rFonts w:ascii="Georgia" w:hAnsi="Georgia" w:eastAsia="Georgia"/>
          <w:b/>
          <w:i w:val="0"/>
          <w:sz w:val="28"/>
        </w:rPr>
        <w:t>REFERENCES</w:t>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spacing w:line="240" w:lineRule="auto" w:before="0" w:after="80"/>
        <w:ind w:left="720" w:hanging="720"/>
        <w:jc w:val="left"/>
      </w:pPr>
      <w:r>
        <w:rPr>
          <w:rFonts w:ascii="Georgia" w:hAnsi="Georgia" w:eastAsia="Georgia"/>
          <w:b w:val="0"/>
          <w:i w:val="0"/>
          <w:sz w:val="22"/>
        </w:rPr>
        <w:t xml:space="preserve">Afshar, H. S., Moradi, M., &amp; Hamzavi, R. (2014). Frequency and type of hedging devices used in the research articles of humanities, basic sciences and agriculture. </w:t>
      </w:r>
      <w:r>
        <w:rPr>
          <w:rFonts w:ascii="Georgia" w:hAnsi="Georgia" w:eastAsia="Georgia"/>
          <w:b w:val="0"/>
          <w:i/>
          <w:sz w:val="22"/>
        </w:rPr>
        <w:t>Procedia – Social and Behavioral Sciences, 136</w:t>
      </w:r>
      <w:r>
        <w:rPr>
          <w:rFonts w:ascii="Georgia" w:hAnsi="Georgia" w:eastAsia="Georgia"/>
          <w:b w:val="0"/>
          <w:i w:val="0"/>
          <w:sz w:val="22"/>
        </w:rPr>
        <w:t>, 70–74. https://doi.org/10.1016/j.sbspro.2014.05.290</w:t>
      </w:r>
    </w:p>
    <w:p>
      <w:pPr>
        <w:spacing w:line="240" w:lineRule="auto" w:before="0" w:after="80"/>
        <w:ind w:left="720" w:hanging="720"/>
        <w:jc w:val="left"/>
      </w:pPr>
      <w:r>
        <w:rPr>
          <w:rFonts w:ascii="Georgia" w:hAnsi="Georgia" w:eastAsia="Georgia"/>
          <w:b w:val="0"/>
          <w:i w:val="0"/>
          <w:sz w:val="22"/>
        </w:rPr>
        <w:t xml:space="preserve">Biber, D., Conrad, S., &amp; Reppen, R. (1998). </w:t>
      </w:r>
      <w:r>
        <w:rPr>
          <w:rFonts w:ascii="Georgia" w:hAnsi="Georgia" w:eastAsia="Georgia"/>
          <w:b w:val="0"/>
          <w:i/>
          <w:sz w:val="22"/>
        </w:rPr>
        <w:t>Corpus linguistics: Investigating language structure and use</w:t>
      </w:r>
      <w:r>
        <w:rPr>
          <w:rFonts w:ascii="Georgia" w:hAnsi="Georgia" w:eastAsia="Georgia"/>
          <w:b w:val="0"/>
          <w:i w:val="0"/>
          <w:sz w:val="22"/>
        </w:rPr>
        <w:t>. Cambridge University Press.</w:t>
      </w:r>
    </w:p>
    <w:p>
      <w:pPr>
        <w:spacing w:line="240" w:lineRule="auto" w:before="0" w:after="80"/>
        <w:ind w:left="720" w:hanging="720"/>
        <w:jc w:val="left"/>
      </w:pPr>
      <w:r>
        <w:rPr>
          <w:rFonts w:ascii="Georgia" w:hAnsi="Georgia" w:eastAsia="Georgia"/>
          <w:b w:val="0"/>
          <w:i w:val="0"/>
          <w:sz w:val="22"/>
        </w:rPr>
        <w:t xml:space="preserve">Demir, C. (2018). Hedging and academic writing: An analysis of lexical hedges. </w:t>
      </w:r>
      <w:r>
        <w:rPr>
          <w:rFonts w:ascii="Georgia" w:hAnsi="Georgia" w:eastAsia="Georgia"/>
          <w:b w:val="0"/>
          <w:i/>
          <w:sz w:val="22"/>
        </w:rPr>
        <w:t>Journal of Language and Linguistic Studies, 14</w:t>
      </w:r>
      <w:r>
        <w:rPr>
          <w:rFonts w:ascii="Georgia" w:hAnsi="Georgia" w:eastAsia="Georgia"/>
          <w:b w:val="0"/>
          <w:i w:val="0"/>
          <w:sz w:val="22"/>
        </w:rPr>
        <w:t>(4), 74–92. https://files.eric.ed.gov/fulltext/EJ1201945.pdf</w:t>
      </w:r>
    </w:p>
    <w:p>
      <w:pPr>
        <w:spacing w:line="240" w:lineRule="auto" w:before="0" w:after="80"/>
        <w:ind w:left="720" w:hanging="720"/>
        <w:jc w:val="left"/>
      </w:pPr>
      <w:r>
        <w:rPr>
          <w:rFonts w:ascii="Georgia" w:hAnsi="Georgia" w:eastAsia="Georgia"/>
          <w:b w:val="0"/>
          <w:i w:val="0"/>
          <w:sz w:val="22"/>
        </w:rPr>
        <w:t xml:space="preserve">Escalona, S. L. (2025). Hedges and boosters in college essays: A study of linguistic modulation in student writing. </w:t>
      </w:r>
      <w:r>
        <w:rPr>
          <w:rFonts w:ascii="Georgia" w:hAnsi="Georgia" w:eastAsia="Georgia"/>
          <w:b w:val="0"/>
          <w:i/>
          <w:sz w:val="22"/>
        </w:rPr>
        <w:t>International Journal of English Literature and Social Sciences, 10</w:t>
      </w:r>
      <w:r>
        <w:rPr>
          <w:rFonts w:ascii="Georgia" w:hAnsi="Georgia" w:eastAsia="Georgia"/>
          <w:b w:val="0"/>
          <w:i w:val="0"/>
          <w:sz w:val="22"/>
        </w:rPr>
        <w:t>(1), 7–17. https://doi.org/10.22161/ijels.101.2</w:t>
      </w:r>
    </w:p>
    <w:p>
      <w:pPr>
        <w:spacing w:line="240" w:lineRule="auto" w:before="0" w:after="80"/>
        <w:ind w:left="720" w:hanging="720"/>
        <w:jc w:val="left"/>
      </w:pPr>
      <w:r>
        <w:rPr>
          <w:rFonts w:ascii="Georgia" w:hAnsi="Georgia" w:eastAsia="Georgia"/>
          <w:b w:val="0"/>
          <w:i w:val="0"/>
          <w:sz w:val="22"/>
        </w:rPr>
        <w:t xml:space="preserve">Hamidi, H., Najafi Sarem, S., &amp; Lotfi, A. H. (2025). Exploring hedging devices in scientific research papers: A content analysis study of the “Medical Journal of the Islamic Republic of Iran.” </w:t>
      </w:r>
      <w:r>
        <w:rPr>
          <w:rFonts w:ascii="Georgia" w:hAnsi="Georgia" w:eastAsia="Georgia"/>
          <w:b w:val="0"/>
          <w:i/>
          <w:sz w:val="22"/>
        </w:rPr>
        <w:t>Medical Journal of the Islamic Republic of Iran, 39</w:t>
      </w:r>
      <w:r>
        <w:rPr>
          <w:rFonts w:ascii="Georgia" w:hAnsi="Georgia" w:eastAsia="Georgia"/>
          <w:b w:val="0"/>
          <w:i w:val="0"/>
          <w:sz w:val="22"/>
        </w:rPr>
        <w:t>, 125. https://pmc.ncbi.nlm.nih.gov/articles/PMC12584097/</w:t>
      </w:r>
    </w:p>
    <w:p>
      <w:pPr>
        <w:spacing w:line="240" w:lineRule="auto" w:before="0" w:after="80"/>
        <w:ind w:left="720" w:hanging="720"/>
        <w:jc w:val="left"/>
      </w:pPr>
      <w:r>
        <w:rPr>
          <w:rFonts w:ascii="Georgia" w:hAnsi="Georgia" w:eastAsia="Georgia"/>
          <w:b w:val="0"/>
          <w:i w:val="0"/>
          <w:sz w:val="22"/>
        </w:rPr>
        <w:t xml:space="preserve">Hyland, K. (1998). </w:t>
      </w:r>
      <w:r>
        <w:rPr>
          <w:rFonts w:ascii="Georgia" w:hAnsi="Georgia" w:eastAsia="Georgia"/>
          <w:b w:val="0"/>
          <w:i/>
          <w:sz w:val="22"/>
        </w:rPr>
        <w:t>Hedging in scientific research articles</w:t>
      </w:r>
      <w:r>
        <w:rPr>
          <w:rFonts w:ascii="Georgia" w:hAnsi="Georgia" w:eastAsia="Georgia"/>
          <w:b w:val="0"/>
          <w:i w:val="0"/>
          <w:sz w:val="22"/>
        </w:rPr>
        <w:t>. John Benjamins Publishing.</w:t>
      </w:r>
    </w:p>
    <w:p>
      <w:pPr>
        <w:spacing w:line="240" w:lineRule="auto" w:before="0" w:after="80"/>
        <w:ind w:left="720" w:hanging="720"/>
        <w:jc w:val="left"/>
      </w:pPr>
      <w:r>
        <w:rPr>
          <w:rFonts w:ascii="Georgia" w:hAnsi="Georgia" w:eastAsia="Georgia"/>
          <w:b w:val="0"/>
          <w:i w:val="0"/>
          <w:sz w:val="22"/>
        </w:rPr>
        <w:t xml:space="preserve">Hyland, K. (2005). Stance and engagement: A model of interaction in academic discourse. </w:t>
      </w:r>
      <w:r>
        <w:rPr>
          <w:rFonts w:ascii="Georgia" w:hAnsi="Georgia" w:eastAsia="Georgia"/>
          <w:b w:val="0"/>
          <w:i/>
          <w:sz w:val="22"/>
        </w:rPr>
        <w:t>Discourse Studies, 7</w:t>
      </w:r>
      <w:r>
        <w:rPr>
          <w:rFonts w:ascii="Georgia" w:hAnsi="Georgia" w:eastAsia="Georgia"/>
          <w:b w:val="0"/>
          <w:i w:val="0"/>
          <w:sz w:val="22"/>
        </w:rPr>
        <w:t>(2), 173–192. https://doi.org/10.1177/1461445605050365</w:t>
      </w:r>
    </w:p>
    <w:p>
      <w:pPr>
        <w:spacing w:line="240" w:lineRule="auto" w:before="0" w:after="80"/>
        <w:ind w:left="720" w:hanging="720"/>
        <w:jc w:val="left"/>
      </w:pPr>
      <w:r>
        <w:rPr>
          <w:rFonts w:ascii="Georgia" w:hAnsi="Georgia" w:eastAsia="Georgia"/>
          <w:b w:val="0"/>
          <w:i w:val="0"/>
          <w:sz w:val="22"/>
        </w:rPr>
        <w:t xml:space="preserve">Hyland, K., &amp; Milton, J. (1997). Qualification and certainty in L1 and L2 students’ writing. </w:t>
      </w:r>
      <w:r>
        <w:rPr>
          <w:rFonts w:ascii="Georgia" w:hAnsi="Georgia" w:eastAsia="Georgia"/>
          <w:b w:val="0"/>
          <w:i/>
          <w:sz w:val="22"/>
        </w:rPr>
        <w:t>Journal of Second Language Writing, 6</w:t>
      </w:r>
      <w:r>
        <w:rPr>
          <w:rFonts w:ascii="Georgia" w:hAnsi="Georgia" w:eastAsia="Georgia"/>
          <w:b w:val="0"/>
          <w:i w:val="0"/>
          <w:sz w:val="22"/>
        </w:rPr>
        <w:t>(2), 183–205. https://doi.org/10.1016/S1060-3743(97)90033-3</w:t>
      </w:r>
    </w:p>
    <w:p>
      <w:pPr>
        <w:spacing w:line="240" w:lineRule="auto" w:before="0" w:after="80"/>
        <w:ind w:left="720" w:hanging="720"/>
        <w:jc w:val="left"/>
      </w:pPr>
      <w:r>
        <w:rPr>
          <w:rFonts w:ascii="Georgia" w:hAnsi="Georgia" w:eastAsia="Georgia"/>
          <w:b w:val="0"/>
          <w:i w:val="0"/>
          <w:sz w:val="22"/>
        </w:rPr>
        <w:t xml:space="preserve">Imataki, N., &amp; Kobayashi, Y. (2024). Analyzing disciplinary variation in abstracts: Linguistic features across scientific and technical fields. </w:t>
      </w:r>
      <w:r>
        <w:rPr>
          <w:rFonts w:ascii="Georgia" w:hAnsi="Georgia" w:eastAsia="Georgia"/>
          <w:b w:val="0"/>
          <w:i/>
          <w:sz w:val="22"/>
        </w:rPr>
        <w:t>Linguistics and Literature Studies, 12</w:t>
      </w:r>
      <w:r>
        <w:rPr>
          <w:rFonts w:ascii="Georgia" w:hAnsi="Georgia" w:eastAsia="Georgia"/>
          <w:b w:val="0"/>
          <w:i w:val="0"/>
          <w:sz w:val="22"/>
        </w:rPr>
        <w:t>(3), 19–28. https://doi.org/10.13189/lls.2024.120301</w:t>
      </w:r>
    </w:p>
    <w:p>
      <w:pPr>
        <w:spacing w:line="240" w:lineRule="auto" w:before="0" w:after="80"/>
        <w:ind w:left="720" w:hanging="720"/>
        <w:jc w:val="left"/>
      </w:pPr>
      <w:r>
        <w:rPr>
          <w:rFonts w:ascii="Georgia" w:hAnsi="Georgia" w:eastAsia="Georgia"/>
          <w:b w:val="0"/>
          <w:i w:val="0"/>
          <w:sz w:val="22"/>
        </w:rPr>
        <w:t xml:space="preserve">Khunasathitchai, K., Sittironnarit, S., Sinturat, T., &amp; Kumdee, S. (2025). Move analysis and hedge use in the research paper abstracts of Thai EFL English-majored undergraduates. </w:t>
      </w:r>
      <w:r>
        <w:rPr>
          <w:rFonts w:ascii="Georgia" w:hAnsi="Georgia" w:eastAsia="Georgia"/>
          <w:b w:val="0"/>
          <w:i/>
          <w:sz w:val="22"/>
        </w:rPr>
        <w:t>rEFLections, 32</w:t>
      </w:r>
      <w:r>
        <w:rPr>
          <w:rFonts w:ascii="Georgia" w:hAnsi="Georgia" w:eastAsia="Georgia"/>
          <w:b w:val="0"/>
          <w:i w:val="0"/>
          <w:sz w:val="22"/>
        </w:rPr>
        <w:t>(2), 951–970.</w:t>
      </w:r>
    </w:p>
    <w:p>
      <w:pPr>
        <w:spacing w:line="240" w:lineRule="auto" w:before="0" w:after="80"/>
        <w:ind w:left="720" w:hanging="720"/>
        <w:jc w:val="left"/>
      </w:pPr>
      <w:r>
        <w:rPr>
          <w:rFonts w:ascii="Georgia" w:hAnsi="Georgia" w:eastAsia="Georgia"/>
          <w:b w:val="0"/>
          <w:i w:val="0"/>
          <w:sz w:val="22"/>
        </w:rPr>
        <w:t>https://doi.org/10.47772/IJRISS.2025.91100485</w:t>
      </w:r>
    </w:p>
    <w:p>
      <w:pPr>
        <w:spacing w:line="480" w:lineRule="auto" w:before="0" w:after="40"/>
        <w:ind w:left="720" w:hanging="720"/>
        <w:jc w:val="left"/>
      </w:pPr>
      <w:r>
        <w:rPr>
          <w:rFonts w:ascii="Georgia" w:hAnsi="Georgia" w:eastAsia="Georgia"/>
          <w:b w:val="0"/>
          <w:i w:val="0"/>
          <w:sz w:val="22"/>
        </w:rPr>
        <w:t/>
      </w:r>
    </w:p>
    <w:p>
      <w:pPr>
        <w:spacing w:line="240" w:lineRule="auto" w:before="0" w:after="80"/>
        <w:ind w:left="720" w:hanging="720"/>
        <w:jc w:val="left"/>
      </w:pPr>
      <w:r>
        <w:rPr>
          <w:rFonts w:ascii="Georgia" w:hAnsi="Georgia" w:eastAsia="Georgia"/>
          <w:b w:val="0"/>
          <w:i w:val="0"/>
          <w:sz w:val="22"/>
        </w:rPr>
        <w:t>Landis, J. R., &amp; Koch, G. G. (1977). The measurement of observer agreement for categorical data. Biometrics, 33(1), 159–174. https://doi.org/10.2307/2529310</w:t>
      </w:r>
    </w:p>
    <w:p>
      <w:pPr>
        <w:spacing w:line="240" w:lineRule="auto" w:before="0" w:after="80"/>
        <w:ind w:left="720" w:hanging="720"/>
        <w:jc w:val="left"/>
      </w:pPr>
      <w:r>
        <w:rPr>
          <w:rFonts w:ascii="Georgia" w:hAnsi="Georgia" w:eastAsia="Georgia"/>
          <w:b w:val="0"/>
          <w:i w:val="0"/>
          <w:sz w:val="22"/>
        </w:rPr>
        <w:t xml:space="preserve">Mohammed, S. J. (2011). </w:t>
      </w:r>
      <w:r>
        <w:rPr>
          <w:rFonts w:ascii="Georgia" w:hAnsi="Georgia" w:eastAsia="Georgia"/>
          <w:b w:val="0"/>
          <w:i/>
          <w:sz w:val="22"/>
        </w:rPr>
        <w:t>Lexical hedges: A study of cultural and disciplinary variation in academic research articles</w:t>
      </w:r>
      <w:r>
        <w:rPr>
          <w:rFonts w:ascii="Georgia" w:hAnsi="Georgia" w:eastAsia="Georgia"/>
          <w:b w:val="0"/>
          <w:i w:val="0"/>
          <w:sz w:val="22"/>
        </w:rPr>
        <w:t xml:space="preserve"> [Master’s thesis, Universiti Teknologi MARA]. CORE. https://core.ac.uk/download/78277430.pdf</w:t>
      </w:r>
    </w:p>
    <w:p>
      <w:pPr>
        <w:spacing w:line="240" w:lineRule="auto" w:before="0" w:after="80"/>
        <w:ind w:left="720" w:hanging="720"/>
        <w:jc w:val="left"/>
      </w:pPr>
      <w:r>
        <w:rPr>
          <w:rFonts w:ascii="Georgia" w:hAnsi="Georgia" w:eastAsia="Georgia"/>
          <w:b w:val="0"/>
          <w:i w:val="0"/>
          <w:sz w:val="22"/>
        </w:rPr>
        <w:t xml:space="preserve">Ningrum, S., Puspita, H., &amp; Mulyadi, A. I. (2024). Hedges and boosters in academic writing of ASEAN EFL learners. </w:t>
      </w:r>
      <w:r>
        <w:rPr>
          <w:rFonts w:ascii="Georgia" w:hAnsi="Georgia" w:eastAsia="Georgia"/>
          <w:b w:val="0"/>
          <w:i/>
          <w:sz w:val="22"/>
        </w:rPr>
        <w:t>Journal of English Education and Teaching, 8</w:t>
      </w:r>
      <w:r>
        <w:rPr>
          <w:rFonts w:ascii="Georgia" w:hAnsi="Georgia" w:eastAsia="Georgia"/>
          <w:b w:val="0"/>
          <w:i w:val="0"/>
          <w:sz w:val="22"/>
        </w:rPr>
        <w:t>(1), 202–218. https://doi.org/10.33369/jeet.8.1.202-218</w:t>
      </w:r>
    </w:p>
    <w:p>
      <w:pPr>
        <w:spacing w:line="240" w:lineRule="auto" w:before="0" w:after="80"/>
        <w:ind w:left="720" w:hanging="720"/>
        <w:jc w:val="left"/>
      </w:pPr>
      <w:r>
        <w:rPr>
          <w:rFonts w:ascii="Georgia" w:hAnsi="Georgia" w:eastAsia="Georgia"/>
          <w:b w:val="0"/>
          <w:i w:val="0"/>
          <w:sz w:val="22"/>
        </w:rPr>
        <w:t xml:space="preserve">Petchkij, W. (2019). Explicit teaching of hedges: Bringing hedging in academic writing into the Thai EFL classroom. </w:t>
      </w:r>
      <w:r>
        <w:rPr>
          <w:rFonts w:ascii="Georgia" w:hAnsi="Georgia" w:eastAsia="Georgia"/>
          <w:b w:val="0"/>
          <w:i/>
          <w:sz w:val="22"/>
        </w:rPr>
        <w:t>Electronic Journal of Foreign Language Teaching, 16(1), 95–113. https://e-flt.nus.edu.sg/wp-content/uploads/2020/09/petchkij.pdf</w:t>
      </w:r>
      <w:r>
        <w:rPr>
          <w:rFonts w:ascii="Georgia" w:hAnsi="Georgia" w:eastAsia="Georgia"/>
          <w:b w:val="0"/>
          <w:i w:val="0"/>
          <w:sz w:val="22"/>
        </w:rPr>
        <w:t/>
      </w:r>
    </w:p>
    <w:p>
      <w:pPr>
        <w:spacing w:line="240" w:lineRule="auto" w:before="0" w:after="80"/>
        <w:ind w:left="720" w:hanging="720"/>
        <w:jc w:val="left"/>
      </w:pPr>
      <w:r>
        <w:rPr>
          <w:rFonts w:ascii="Georgia" w:hAnsi="Georgia" w:eastAsia="Georgia"/>
          <w:b w:val="0"/>
          <w:i w:val="0"/>
          <w:sz w:val="22"/>
        </w:rPr>
        <w:t xml:space="preserve">Salager-Meyer, F. (1994). Hedges and textual communicative function in medical English written discourse. </w:t>
      </w:r>
      <w:r>
        <w:rPr>
          <w:rFonts w:ascii="Georgia" w:hAnsi="Georgia" w:eastAsia="Georgia"/>
          <w:b w:val="0"/>
          <w:i/>
          <w:sz w:val="22"/>
        </w:rPr>
        <w:t>English for Specific Purposes, 13</w:t>
      </w:r>
      <w:r>
        <w:rPr>
          <w:rFonts w:ascii="Georgia" w:hAnsi="Georgia" w:eastAsia="Georgia"/>
          <w:b w:val="0"/>
          <w:i w:val="0"/>
          <w:sz w:val="22"/>
        </w:rPr>
        <w:t>(2), 149–170. https://doi.org/10.1016/0889-4906(94)90013-2</w:t>
      </w:r>
    </w:p>
    <w:p>
      <w:pPr>
        <w:spacing w:line="240" w:lineRule="auto" w:before="0" w:after="80"/>
        <w:ind w:left="720" w:hanging="720"/>
        <w:jc w:val="left"/>
      </w:pPr>
      <w:r>
        <w:rPr>
          <w:rFonts w:ascii="Georgia" w:hAnsi="Georgia" w:eastAsia="Georgia"/>
          <w:b w:val="0"/>
          <w:i w:val="0"/>
          <w:sz w:val="22"/>
        </w:rPr>
        <w:t xml:space="preserve">Suratno, A., &amp; Aydawati, E. N. (2025). Hedging strategies in non-science theses: A corpus-based analysis of discussion sections. </w:t>
      </w:r>
      <w:r>
        <w:rPr>
          <w:rFonts w:ascii="Georgia" w:hAnsi="Georgia" w:eastAsia="Georgia"/>
          <w:b w:val="0"/>
          <w:i/>
          <w:sz w:val="22"/>
        </w:rPr>
        <w:t>ETERNAL (English Teaching Journal), 16</w:t>
      </w:r>
      <w:r>
        <w:rPr>
          <w:rFonts w:ascii="Georgia" w:hAnsi="Georgia" w:eastAsia="Georgia"/>
          <w:b w:val="0"/>
          <w:i w:val="0"/>
          <w:sz w:val="22"/>
        </w:rPr>
        <w:t>(1), 37–52. https://journal2.upgris.ac.id/index.php/eternal/article/view/1059</w:t>
      </w:r>
    </w:p>
    <w:p>
      <w:pPr>
        <w:spacing w:line="240" w:lineRule="auto" w:before="0" w:after="80"/>
        <w:ind w:left="720" w:hanging="720"/>
        <w:jc w:val="left"/>
      </w:pPr>
      <w:r>
        <w:rPr>
          <w:rFonts w:ascii="Georgia" w:hAnsi="Georgia" w:eastAsia="Georgia"/>
          <w:b w:val="0"/>
          <w:i w:val="0"/>
          <w:sz w:val="22"/>
        </w:rPr>
        <w:t xml:space="preserve">Villanueva, V. S. (2014). Hedging devices in Philippine newspaper editorials. </w:t>
      </w:r>
      <w:r>
        <w:rPr>
          <w:rFonts w:ascii="Georgia" w:hAnsi="Georgia" w:eastAsia="Georgia"/>
          <w:b w:val="0"/>
          <w:i/>
          <w:sz w:val="22"/>
        </w:rPr>
        <w:t>Asian Journal of English Language Studies, 2</w:t>
      </w:r>
      <w:r>
        <w:rPr>
          <w:rFonts w:ascii="Georgia" w:hAnsi="Georgia" w:eastAsia="Georgia"/>
          <w:b w:val="0"/>
          <w:i w:val="0"/>
          <w:sz w:val="22"/>
        </w:rPr>
        <w:t>, 103–117. https://doi.org/10.59960/2.a5</w:t>
      </w:r>
    </w:p>
    <w:p>
      <w:pPr>
        <w:spacing w:line="240" w:lineRule="auto" w:before="0" w:after="80"/>
        <w:ind w:left="720" w:hanging="720"/>
        <w:jc w:val="left"/>
      </w:pPr>
      <w:r>
        <w:rPr>
          <w:rFonts w:ascii="Georgia" w:hAnsi="Georgia" w:eastAsia="Georgia"/>
          <w:b w:val="0"/>
          <w:i w:val="0"/>
          <w:sz w:val="22"/>
        </w:rPr>
        <w:t xml:space="preserve">Wang, X. (2022). </w:t>
      </w:r>
      <w:r>
        <w:rPr>
          <w:rFonts w:ascii="Georgia" w:hAnsi="Georgia" w:eastAsia="Georgia"/>
          <w:b w:val="0"/>
          <w:i/>
          <w:sz w:val="22"/>
        </w:rPr>
        <w:t>Hedging in academic writing: Cross-disciplinary comparisons in the Michigan Corpus of Upper-Level Student Papers (MICUSP)</w:t>
      </w:r>
      <w:r>
        <w:rPr>
          <w:rFonts w:ascii="Georgia" w:hAnsi="Georgia" w:eastAsia="Georgia"/>
          <w:b w:val="0"/>
          <w:i w:val="0"/>
          <w:sz w:val="22"/>
        </w:rPr>
        <w:t xml:space="preserve"> [Preprint]. OSF Preprints. https://osf.io/preprints/edarxiv/5xj27</w:t>
      </w:r>
    </w:p>
    <w:p>
      <w:pPr>
        <w:spacing w:after="40" w:before="0"/>
        <w:sectPr>
          <w:headerReference w:type="default" r:id="rId18"/>
          <w:headerReference w:type="first" r:id="rId19"/>
          <w:pgSz w:w="11906" w:h="16838"/>
          <w:pgMar w:top="1440" w:right="1440" w:bottom="1440" w:left="2160" w:header="720" w:footer="720" w:gutter="0"/>
          <w:cols w:space="720"/>
          <w:titlePg/>
          <w:docGrid w:linePitch="360"/>
        </w:sectPr>
      </w:pP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spacing w:after="40" w:before="0"/>
      </w:pPr>
      <w:r>
        <w:rPr>
          <w:rFonts w:ascii="Georgia" w:hAnsi="Georgia" w:eastAsia="Georgia"/>
          <w:b w:val="0"/>
          <w:i w:val="0"/>
          <w:sz w:val="22"/>
        </w:rPr>
      </w:r>
    </w:p>
    <w:p>
      <w:pPr>
        <w:keepNext/>
        <w:keepLines/>
        <w:spacing w:before="0" w:after="80" w:line="240" w:lineRule="auto"/>
        <w:jc w:val="center"/>
      </w:pPr>
      <w:r>
        <w:rPr>
          <w:rFonts w:ascii="Georgia" w:hAnsi="Georgia" w:eastAsia="Georgia"/>
          <w:b/>
          <w:i w:val="0"/>
          <w:sz w:val="28"/>
        </w:rPr>
        <w:t>APPENDICES</w:t>
      </w:r>
    </w:p>
    <w:p>
      <w:pPr>
        <w:pStyle w:val="FirstParagraph"/>
        <w:spacing w:before="200" w:after="120" w:line="240" w:lineRule="auto"/>
      </w:pPr>
      <w:r>
        <w:rPr>
          <w:b/>
        </w:rPr>
        <w:t xml:space="preserve">APPENDIX A: HEDGING CODEBOOK</w:t>
      </w:r>
    </w:p>
    <w:p>
      <w:pPr>
        <w:pStyle w:val="BodyText"/>
        <w:spacing w:after="80" w:before="0" w:line="240" w:lineRule="auto"/>
      </w:pPr>
      <w:r>
        <w:t xml:space="preserve">This appendix is the full coding protocol used for the study. It opens with a one-page quick-reference, then gives the operational layers, decision rules, false-positive categories, and recording conventions.</w:t>
      </w:r>
    </w:p>
    <w:p>
      <w:pPr>
        <w:pStyle w:val="BodyText"/>
        <w:spacing w:before="200" w:after="120" w:line="240" w:lineRule="auto"/>
      </w:pPr>
      <w:r>
        <w:rPr>
          <w:b/>
        </w:rPr>
        <w:t xml:space="preserve">QUICK-REFERENCE</w:t>
      </w:r>
    </w:p>
    <w:p>
      <w:pPr>
        <w:pStyle w:val="BodyText"/>
        <w:spacing w:after="80" w:before="0" w:line="240" w:lineRule="auto"/>
      </w:pPr>
      <w:r>
        <w:t xml:space="preserve">Coding is context-sensitive. A word is a hedge only when it functions as one in the sentence, not because it appears on a list.</w:t>
      </w:r>
    </w:p>
    <w:p>
      <w:pPr>
        <w:pStyle w:val="BodyText"/>
        <w:spacing w:before="200" w:after="120" w:line="240" w:lineRule="auto"/>
      </w:pPr>
      <w:r>
        <w:rPr>
          <w:b/>
        </w:rPr>
        <w:t xml:space="preserve">Hedge types</w:t>
      </w:r>
    </w:p>
    <w:p>
      <w:pPr>
        <w:numPr>
          <w:ilvl w:val="0"/>
          <w:numId w:val="1001"/>
        </w:numPr>
        <w:spacing w:after="80" w:before="0" w:line="240" w:lineRule="auto"/>
      </w:pPr>
      <w:r>
        <w:t xml:space="preserve">Modal verbs: may, might, could, would, should, can (when they mark possibility, not capability or obligation).</w:t>
      </w:r>
    </w:p>
    <w:p>
      <w:pPr>
        <w:numPr>
          <w:ilvl w:val="0"/>
          <w:numId w:val="1001"/>
        </w:numPr>
        <w:spacing w:after="80" w:before="0" w:line="240" w:lineRule="auto"/>
      </w:pPr>
      <w:r>
        <w:t xml:space="preserve">Lexical hedges: suggest, indicate, appear, seem, propose, assume, possible, probable, likely, potential (and similar epistemic adjectives or nouns) when they qualify the certainty of a claim and pass the Working Test.</w:t>
      </w:r>
    </w:p>
    <w:p>
      <w:pPr>
        <w:numPr>
          <w:ilvl w:val="0"/>
          <w:numId w:val="1001"/>
        </w:numPr>
        <w:spacing w:after="80" w:before="0" w:line="240" w:lineRule="auto"/>
      </w:pPr>
      <w:r>
        <w:t xml:space="preserve">Adverbial hedges: generally, typically, possibly, probably, relatively, essentially (when they qualify scope or certainty, not procedural routine).</w:t>
      </w:r>
    </w:p>
    <w:p>
      <w:pPr>
        <w:numPr>
          <w:ilvl w:val="0"/>
          <w:numId w:val="1001"/>
        </w:numPr>
        <w:spacing w:after="80" w:before="0" w:line="240" w:lineRule="auto"/>
      </w:pPr>
      <w:r>
        <w:t xml:space="preserve">Clause-level hedges: it seems that, it is possible that, to some extent, in our view.</w:t>
      </w:r>
    </w:p>
    <w:p>
      <w:pPr>
        <w:pStyle w:val="FirstParagraph"/>
        <w:spacing w:before="200" w:after="120" w:line="240" w:lineRule="auto"/>
      </w:pPr>
      <w:r>
        <w:rPr>
          <w:b/>
        </w:rPr>
        <w:t xml:space="preserve">Hedge functions</w:t>
      </w:r>
    </w:p>
    <w:p>
      <w:pPr>
        <w:numPr>
          <w:ilvl w:val="0"/>
          <w:numId w:val="1002"/>
        </w:numPr>
        <w:spacing w:after="80" w:before="0" w:line="240" w:lineRule="auto"/>
      </w:pPr>
      <w:r>
        <w:t xml:space="preserve">Epistemic Caution: marks uncertainty about whether a claim is true (e.g., The treatment may reduce infection rates).</w:t>
      </w:r>
    </w:p>
    <w:p>
      <w:pPr>
        <w:numPr>
          <w:ilvl w:val="0"/>
          <w:numId w:val="1002"/>
        </w:numPr>
        <w:spacing w:after="80" w:before="0" w:line="240" w:lineRule="auto"/>
      </w:pPr>
      <w:r>
        <w:t xml:space="preserve">Politeness / Deference: softens face threat or shows respect rather than genuine doubt (e.g., As suggested by Hyland…).</w:t>
      </w:r>
    </w:p>
    <w:p>
      <w:pPr>
        <w:numPr>
          <w:ilvl w:val="0"/>
          <w:numId w:val="1002"/>
        </w:numPr>
        <w:spacing w:after="80" w:before="0" w:line="240" w:lineRule="auto"/>
      </w:pPr>
      <w:r>
        <w:t xml:space="preserve">Discourse Organization: manages text structure or reader expectations rather than stance (e.g., It should be noted that…).</w:t>
      </w:r>
    </w:p>
    <w:p>
      <w:pPr>
        <w:pStyle w:val="FirstParagraph"/>
        <w:spacing w:before="200" w:after="120" w:line="240" w:lineRule="auto"/>
      </w:pPr>
      <w:r>
        <w:rPr>
          <w:b/>
        </w:rPr>
        <w:t xml:space="preserve">Core decision rules</w:t>
      </w:r>
    </w:p>
    <w:p>
      <w:pPr>
        <w:numPr>
          <w:ilvl w:val="0"/>
          <w:numId w:val="1003"/>
        </w:numPr>
        <w:spacing w:after="80" w:before="0" w:line="240" w:lineRule="auto"/>
      </w:pPr>
      <w:r>
        <w:t xml:space="preserve">suggest / indicate → hedge when introducing a finding; not a hedge when introducing a recommendation.</w:t>
      </w:r>
    </w:p>
    <w:p>
      <w:pPr>
        <w:numPr>
          <w:ilvl w:val="0"/>
          <w:numId w:val="1003"/>
        </w:numPr>
        <w:spacing w:after="80" w:before="0" w:line="240" w:lineRule="auto"/>
      </w:pPr>
      <w:r>
        <w:t xml:space="preserve">can / may → hedge when marking possibility; not a hedge when marking capability.</w:t>
      </w:r>
    </w:p>
    <w:p>
      <w:pPr>
        <w:numPr>
          <w:ilvl w:val="0"/>
          <w:numId w:val="1003"/>
        </w:numPr>
        <w:spacing w:after="80" w:before="0" w:line="240" w:lineRule="auto"/>
      </w:pPr>
      <w:r>
        <w:t xml:space="preserve">generally / typically → hedge when limiting the scope of a claim; not a hedge when describing a procedural norm.</w:t>
      </w:r>
    </w:p>
    <w:p>
      <w:pPr>
        <w:numPr>
          <w:ilvl w:val="0"/>
          <w:numId w:val="1003"/>
        </w:numPr>
        <w:spacing w:after="80" w:before="0" w:line="240" w:lineRule="auto"/>
      </w:pPr>
      <w:r>
        <w:t xml:space="preserve">appear / seem → hedge when expressing uncertainty about a result; not a hedge when pointing to location in a table or text.</w:t>
      </w:r>
    </w:p>
    <w:p>
      <w:pPr>
        <w:pStyle w:val="FirstParagraph"/>
        <w:spacing w:before="200" w:after="120" w:line="240" w:lineRule="auto"/>
      </w:pPr>
      <w:r>
        <w:rPr>
          <w:b/>
        </w:rPr>
        <w:t xml:space="preserve">Exclusion and Working Test</w:t>
      </w:r>
    </w:p>
    <w:p>
      <w:pPr>
        <w:pStyle w:val="BodyText"/>
        <w:spacing w:after="80" w:before="0" w:line="240" w:lineRule="auto"/>
      </w:pPr>
      <w:r>
        <w:t xml:space="preserve">Ability, future procedure, and necessity (must / should in procedural contexts) are never hedges. Working Test: if removing the device does not change how certain or tentative the claim is, it is not a hedge.</w:t>
      </w:r>
    </w:p>
    <w:p>
      <w:pPr>
        <w:pStyle w:val="BodyText"/>
        <w:spacing w:before="200" w:after="120" w:line="240" w:lineRule="auto"/>
      </w:pPr>
      <w:r>
        <w:rPr>
          <w:b/>
        </w:rPr>
        <w:t xml:space="preserve">FULL CODEBOOK</w:t>
      </w:r>
    </w:p>
    <w:p>
      <w:pPr>
        <w:pStyle w:val="BodyText"/>
        <w:spacing w:before="200" w:after="120" w:line="240" w:lineRule="auto"/>
      </w:pPr>
      <w:r>
        <w:rPr>
          <w:b/>
        </w:rPr>
        <w:t xml:space="preserve">PURPOSE</w:t>
      </w:r>
    </w:p>
    <w:p>
      <w:pPr>
        <w:pStyle w:val="BodyText"/>
        <w:spacing w:after="80" w:before="0" w:line="240" w:lineRule="auto"/>
      </w:pPr>
      <w:r>
        <w:t xml:space="preserve">This codebook turns Hyland’s (1998) framework into a practical coding scheme for the PSAU undergraduate thesis abstract corpus. Highlights are background colors applied by hand or digital highlighter on printed or PDF copies. They are not font colors and are not software-dependent. The marked hard copy is the primary record; any spreadsheet is only a derived tally.</w:t>
      </w:r>
    </w:p>
    <w:p>
      <w:pPr>
        <w:pStyle w:val="BodyText"/>
        <w:spacing w:before="200" w:after="120" w:line="240" w:lineRule="auto"/>
      </w:pPr>
      <w:r>
        <w:rPr>
          <w:b/>
        </w:rPr>
        <w:t xml:space="preserve">WORKING TEST</w:t>
      </w:r>
    </w:p>
    <w:p>
      <w:pPr>
        <w:pStyle w:val="BodyText"/>
        <w:spacing w:after="80" w:before="0" w:line="240" w:lineRule="auto"/>
      </w:pPr>
      <w:r>
        <w:t xml:space="preserve">Remove the candidate device. If the epistemic weight of the claim (how certain or tentative it feels) does not change, the device is not a hedge. This includes phrases that merely point to evidence for a claim already asserted in the same sentence (e.g.,</w:t>
      </w:r>
      <w:r>
        <w:t xml:space="preserve"> </w:t>
      </w:r>
      <w:r>
        <w:t xml:space="preserve">“</w:t>
      </w:r>
      <w:r>
        <w:t xml:space="preserve">as indicated by X</w:t>
      </w:r>
      <w:r>
        <w:t xml:space="preserve">”</w:t>
      </w:r>
      <w:r>
        <w:t xml:space="preserve">).</w:t>
      </w:r>
    </w:p>
    <w:p>
      <w:pPr>
        <w:pStyle w:val="BodyText"/>
        <w:spacing w:after="80" w:before="0" w:line="240" w:lineRule="auto"/>
      </w:pPr>
      <w:r>
        <w:t xml:space="preserve">Epistemic language concerns how sure a claim is. Deontic language concerns what should or must be done. Only epistemic uses count as hedges.</w:t>
      </w:r>
      <w:r>
        <w:t xml:space="preserve"> </w:t>
      </w:r>
      <w:r>
        <w:t xml:space="preserve">“</w:t>
      </w:r>
      <w:r>
        <w:t xml:space="preserve">We suggest further research</w:t>
      </w:r>
      <w:r>
        <w:t xml:space="preserve">”</w:t>
      </w:r>
      <w:r>
        <w:t xml:space="preserve"> </w:t>
      </w:r>
      <w:r>
        <w:t xml:space="preserve">is therefore a false positive (recommendation), even though</w:t>
      </w:r>
      <w:r>
        <w:t xml:space="preserve"> </w:t>
      </w:r>
      <w:r>
        <w:t xml:space="preserve">“</w:t>
      </w:r>
      <w:r>
        <w:t xml:space="preserve">suggest</w:t>
      </w:r>
      <w:r>
        <w:t xml:space="preserve">”</w:t>
      </w:r>
      <w:r>
        <w:t xml:space="preserve"> </w:t>
      </w:r>
      <w:r>
        <w:t xml:space="preserve">sits on the hedge list.</w:t>
      </w:r>
    </w:p>
    <w:p>
      <w:pPr>
        <w:pStyle w:val="BodyText"/>
        <w:spacing w:after="80" w:before="0" w:line="240" w:lineRule="auto"/>
      </w:pPr>
      <w:r>
        <w:t xml:space="preserve">Do not code a word solely because it appears on the list. Check its job in the sentence:</w:t>
      </w:r>
      <w:r>
        <w:t xml:space="preserve"> </w:t>
      </w:r>
      <w:r>
        <w:t xml:space="preserve">“</w:t>
      </w:r>
      <w:r>
        <w:t xml:space="preserve">can</w:t>
      </w:r>
      <w:r>
        <w:t xml:space="preserve">”</w:t>
      </w:r>
      <w:r>
        <w:t xml:space="preserve"> </w:t>
      </w:r>
      <w:r>
        <w:t xml:space="preserve">is a hedge only for possibility, not capability;</w:t>
      </w:r>
      <w:r>
        <w:t xml:space="preserve"> </w:t>
      </w:r>
      <w:r>
        <w:t xml:space="preserve">“</w:t>
      </w:r>
      <w:r>
        <w:t xml:space="preserve">suggest</w:t>
      </w:r>
      <w:r>
        <w:t xml:space="preserve">”</w:t>
      </w:r>
      <w:r>
        <w:t xml:space="preserve"> </w:t>
      </w:r>
      <w:r>
        <w:t xml:space="preserve">is a hedge only for a finding, not a recommendation.</w:t>
      </w:r>
    </w:p>
    <w:p>
      <w:pPr>
        <w:pStyle w:val="BodyText"/>
        <w:spacing w:after="80" w:before="0" w:line="240" w:lineRule="auto"/>
      </w:pPr>
      <w:r>
        <w:t xml:space="preserve">Coding order: read the whole sentence, apply the decision rules, run the Working Test if still unsure, and log any unresolved case in Coder Notes instead of guessing.</w:t>
      </w:r>
    </w:p>
    <w:p>
      <w:pPr>
        <w:pStyle w:val="BodyText"/>
        <w:spacing w:before="200" w:after="120" w:line="240" w:lineRule="auto"/>
      </w:pPr>
      <w:r>
        <w:rPr>
          <w:b/>
        </w:rPr>
        <w:t xml:space="preserve">LAYER 1: HEDGE TYPE (PRIMARY COLORS)</w:t>
      </w:r>
    </w:p>
    <w:p>
      <w:pPr>
        <w:pStyle w:val="BodyText"/>
        <w:spacing w:after="80" w:before="0" w:line="240" w:lineRule="auto"/>
      </w:pPr>
      <w:r>
        <w:t xml:space="preserve">Highlight each hedge token in the color that matches its form.</w:t>
      </w:r>
    </w:p>
    <w:p>
      <w:pPr>
        <w:numPr>
          <w:ilvl w:val="0"/>
          <w:numId w:val="1004"/>
        </w:numPr>
        <w:spacing w:after="80" w:before="0" w:line="240" w:lineRule="auto"/>
      </w:pPr>
      <w:r>
        <w:t xml:space="preserve">Modal verbs — possibility, probability, or a condition under which something may hold. Example:</w:t>
      </w:r>
      <w:r>
        <w:t xml:space="preserve"> </w:t>
      </w:r>
      <w:r>
        <w:t xml:space="preserve">“</w:t>
      </w:r>
      <w:r>
        <w:t xml:space="preserve">This may indicate disease resistance.</w:t>
      </w:r>
      <w:r>
        <w:t xml:space="preserve">”</w:t>
      </w:r>
    </w:p>
    <w:p>
      <w:pPr>
        <w:numPr>
          <w:ilvl w:val="0"/>
          <w:numId w:val="1004"/>
        </w:numPr>
        <w:spacing w:after="80" w:before="0" w:line="240" w:lineRule="auto"/>
      </w:pPr>
      <w:r>
        <w:t xml:space="preserve">Lexical hedges — verbs, adjectives, or nouns that lower certainty. Example:</w:t>
      </w:r>
      <w:r>
        <w:t xml:space="preserve"> </w:t>
      </w:r>
      <w:r>
        <w:t xml:space="preserve">“</w:t>
      </w:r>
      <w:r>
        <w:t xml:space="preserve">Data suggests a correlation.</w:t>
      </w:r>
      <w:r>
        <w:t xml:space="preserve">”</w:t>
      </w:r>
    </w:p>
    <w:p>
      <w:pPr>
        <w:numPr>
          <w:ilvl w:val="0"/>
          <w:numId w:val="1004"/>
        </w:numPr>
        <w:spacing w:after="80" w:before="0" w:line="240" w:lineRule="auto"/>
      </w:pPr>
      <w:r>
        <w:t xml:space="preserve">Adverbial hedges — adverbs that limit scope, frequency, or certainty. Example:</w:t>
      </w:r>
      <w:r>
        <w:t xml:space="preserve"> </w:t>
      </w:r>
      <w:r>
        <w:t xml:space="preserve">“</w:t>
      </w:r>
      <w:r>
        <w:t xml:space="preserve">Plants generally respond to drought by…</w:t>
      </w:r>
      <w:r>
        <w:t xml:space="preserve">”</w:t>
      </w:r>
    </w:p>
    <w:p>
      <w:pPr>
        <w:numPr>
          <w:ilvl w:val="0"/>
          <w:numId w:val="1004"/>
        </w:numPr>
        <w:spacing w:after="80" w:before="0" w:line="240" w:lineRule="auto"/>
      </w:pPr>
      <w:r>
        <w:t xml:space="preserve">Clause-level hedges — multi-word constructions that frame the whole proposition as tentative. Example:</w:t>
      </w:r>
      <w:r>
        <w:t xml:space="preserve"> </w:t>
      </w:r>
      <w:r>
        <w:t xml:space="preserve">“</w:t>
      </w:r>
      <w:r>
        <w:t xml:space="preserve">It is possible that the extract inhibits growth.</w:t>
      </w:r>
      <w:r>
        <w:t xml:space="preserve">”</w:t>
      </w:r>
    </w:p>
    <w:p>
      <w:pPr>
        <w:pStyle w:val="FirstParagraph"/>
        <w:spacing w:before="200" w:after="120" w:line="240" w:lineRule="auto"/>
      </w:pPr>
      <w:r>
        <w:rPr>
          <w:b/>
        </w:rPr>
        <w:t xml:space="preserve">LAYER 2: HEDGE FUNCTION (COLORED TEXT LABELS)</w:t>
      </w:r>
    </w:p>
    <w:p>
      <w:pPr>
        <w:pStyle w:val="BodyText"/>
        <w:spacing w:after="80" w:before="0" w:line="240" w:lineRule="auto"/>
      </w:pPr>
      <w:r>
        <w:t xml:space="preserve">After type is marked, assign function by writing a short label next to the token or using colored text.</w:t>
      </w:r>
    </w:p>
    <w:p>
      <w:pPr>
        <w:numPr>
          <w:ilvl w:val="0"/>
          <w:numId w:val="1005"/>
        </w:numPr>
        <w:spacing w:after="80" w:before="0" w:line="240" w:lineRule="auto"/>
      </w:pPr>
      <w:r>
        <w:t xml:space="preserve">Epistemic Caution (EC) — the default for this corpus. The writer signals that the claim is not fully certain.</w:t>
      </w:r>
    </w:p>
    <w:p>
      <w:pPr>
        <w:numPr>
          <w:ilvl w:val="0"/>
          <w:numId w:val="1005"/>
        </w:numPr>
        <w:spacing w:after="80" w:before="0" w:line="240" w:lineRule="auto"/>
      </w:pPr>
      <w:r>
        <w:t xml:space="preserve">Politeness / Deference (PD) — softens disagreement or shows respect; the uncertainty is more social than epistemic.</w:t>
      </w:r>
    </w:p>
    <w:p>
      <w:pPr>
        <w:numPr>
          <w:ilvl w:val="0"/>
          <w:numId w:val="1005"/>
        </w:numPr>
        <w:spacing w:after="80" w:before="0" w:line="240" w:lineRule="auto"/>
      </w:pPr>
      <w:r>
        <w:t xml:space="preserve">Discourse Organization (DO) — guides the reader or structures the text rather than marking stance.</w:t>
      </w:r>
    </w:p>
    <w:p>
      <w:pPr>
        <w:pStyle w:val="FirstParagraph"/>
        <w:spacing w:after="80" w:before="0" w:line="240" w:lineRule="auto"/>
      </w:pPr>
      <w:r>
        <w:t xml:space="preserve">In this study every retained hedge fell under Epistemic Caution. The other two categories remained available so that any interactional use would have been visible.</w:t>
      </w:r>
    </w:p>
    <w:p>
      <w:pPr>
        <w:pStyle w:val="BodyText"/>
        <w:spacing w:before="200" w:after="120" w:line="240" w:lineRule="auto"/>
      </w:pPr>
      <w:r>
        <w:rPr>
          <w:b/>
        </w:rPr>
        <w:t xml:space="preserve">DECISION RULES FOR AMBIGUOUS CASES</w:t>
      </w:r>
    </w:p>
    <w:p>
      <w:pPr>
        <w:pStyle w:val="BodyText"/>
        <w:spacing w:after="80" w:before="0" w:line="240" w:lineRule="auto"/>
      </w:pPr>
      <w:r>
        <w:t xml:space="preserve">Apply these before defaulting to the Working Test.</w:t>
      </w:r>
    </w:p>
    <w:p>
      <w:pPr>
        <w:numPr>
          <w:ilvl w:val="0"/>
          <w:numId w:val="1006"/>
        </w:numPr>
        <w:spacing w:after="80" w:before="0" w:line="240" w:lineRule="auto"/>
      </w:pPr>
      <w:r>
        <w:t xml:space="preserve">suggest / indicate: hedge when the verb introduces a finding or result. Not a hedge when it introduces a recommendation or next step.</w:t>
      </w:r>
    </w:p>
    <w:p>
      <w:pPr>
        <w:numPr>
          <w:ilvl w:val="0"/>
          <w:numId w:val="1006"/>
        </w:numPr>
        <w:spacing w:after="80" w:before="0" w:line="240" w:lineRule="auto"/>
      </w:pPr>
      <w:r>
        <w:t xml:space="preserve">can / may: hedge when the meaning is possibility or uncertainty. Not a hedge when the meaning is capability or permission.</w:t>
      </w:r>
    </w:p>
    <w:p>
      <w:pPr>
        <w:numPr>
          <w:ilvl w:val="0"/>
          <w:numId w:val="1006"/>
        </w:numPr>
        <w:spacing w:after="80" w:before="0" w:line="240" w:lineRule="auto"/>
      </w:pPr>
      <w:r>
        <w:t xml:space="preserve">generally / typically: hedge when the adverb limits the scope or regularity of a claim. Not a hedge when it merely describes a standard laboratory or field routine.</w:t>
      </w:r>
    </w:p>
    <w:p>
      <w:pPr>
        <w:numPr>
          <w:ilvl w:val="0"/>
          <w:numId w:val="1006"/>
        </w:numPr>
        <w:spacing w:after="80" w:before="0" w:line="240" w:lineRule="auto"/>
      </w:pPr>
      <w:r>
        <w:t xml:space="preserve">appear / seem: hedge when the verb expresses uncertainty about a result or interpretation. Not a hedge when it points to physical or textual location (</w:t>
      </w:r>
      <w:r>
        <w:t xml:space="preserve">“</w:t>
      </w:r>
      <w:r>
        <w:t xml:space="preserve">the results appear in Table 1</w:t>
      </w:r>
      <w:r>
        <w:t xml:space="preserve">”</w:t>
      </w:r>
      <w:r>
        <w:t xml:space="preserve">).</w:t>
      </w:r>
    </w:p>
    <w:p>
      <w:pPr>
        <w:numPr>
          <w:ilvl w:val="0"/>
          <w:numId w:val="1006"/>
        </w:numPr>
        <w:spacing w:after="80" w:before="0" w:line="240" w:lineRule="auto"/>
      </w:pPr>
      <w:r>
        <w:t xml:space="preserve">potential + noun (and possibility + noun) in aim or methods statements: usually topic-naming, not a hedge on a claim. Treat as false positive (FP-Gen) unless the construction clearly qualifies the certainty of a finding.</w:t>
      </w:r>
    </w:p>
    <w:p>
      <w:pPr>
        <w:numPr>
          <w:ilvl w:val="0"/>
          <w:numId w:val="1006"/>
        </w:numPr>
        <w:spacing w:after="80" w:before="0" w:line="240" w:lineRule="auto"/>
      </w:pPr>
      <w:r>
        <w:t xml:space="preserve">can + active content verb describing a treatment effect (enhance, promote, reduce, help): capability (FP-Cap), even inside a larger</w:t>
      </w:r>
      <w:r>
        <w:t xml:space="preserve"> </w:t>
      </w:r>
      <w:r>
        <w:t xml:space="preserve">“</w:t>
      </w:r>
      <w:r>
        <w:t xml:space="preserve">suggests that</w:t>
      </w:r>
      <w:r>
        <w:t xml:space="preserve">”</w:t>
      </w:r>
      <w:r>
        <w:t xml:space="preserve"> </w:t>
      </w:r>
      <w:r>
        <w:t xml:space="preserve">clause, when removing</w:t>
      </w:r>
      <w:r>
        <w:t xml:space="preserve"> </w:t>
      </w:r>
      <w:r>
        <w:t xml:space="preserve">“</w:t>
      </w:r>
      <w:r>
        <w:t xml:space="preserve">can</w:t>
      </w:r>
      <w:r>
        <w:t xml:space="preserve">”</w:t>
      </w:r>
      <w:r>
        <w:t xml:space="preserve"> </w:t>
      </w:r>
      <w:r>
        <w:t xml:space="preserve">alone does not change the epistemic weight already carried by</w:t>
      </w:r>
      <w:r>
        <w:t xml:space="preserve"> </w:t>
      </w:r>
      <w:r>
        <w:t xml:space="preserve">“</w:t>
      </w:r>
      <w:r>
        <w:t xml:space="preserve">suggests.</w:t>
      </w:r>
      <w:r>
        <w:t xml:space="preserve">”</w:t>
      </w:r>
    </w:p>
    <w:p>
      <w:pPr>
        <w:pStyle w:val="FirstParagraph"/>
        <w:spacing w:before="200" w:after="120" w:line="240" w:lineRule="auto"/>
      </w:pPr>
      <w:r>
        <w:rPr>
          <w:b/>
        </w:rPr>
        <w:t xml:space="preserve">MARKING FALSE POSITIVES</w:t>
      </w:r>
    </w:p>
    <w:p>
      <w:pPr>
        <w:pStyle w:val="BodyText"/>
        <w:spacing w:after="80" w:before="0" w:line="240" w:lineRule="auto"/>
      </w:pPr>
      <w:r>
        <w:t xml:space="preserve">Strike through any hedge-like token that fails the Working Test or a decision rule. Note the reason code in Coder Notes.</w:t>
      </w:r>
    </w:p>
    <w:p>
      <w:pPr>
        <w:pStyle w:val="BodyText"/>
        <w:spacing w:after="80" w:before="0" w:line="240" w:lineRule="auto"/>
      </w:pPr>
      <w:r>
        <w:t xml:space="preserve">Common reason codes:</w:t>
      </w:r>
    </w:p>
    <w:p>
      <w:pPr>
        <w:numPr>
          <w:ilvl w:val="0"/>
          <w:numId w:val="1007"/>
        </w:numPr>
        <w:spacing w:after="80" w:before="0" w:line="240" w:lineRule="auto"/>
      </w:pPr>
      <w:r>
        <w:t xml:space="preserve">FP-Cap — capability / ability</w:t>
      </w:r>
    </w:p>
    <w:p>
      <w:pPr>
        <w:numPr>
          <w:ilvl w:val="0"/>
          <w:numId w:val="1007"/>
        </w:numPr>
        <w:spacing w:after="80" w:before="0" w:line="240" w:lineRule="auto"/>
      </w:pPr>
      <w:r>
        <w:t xml:space="preserve">FP-Rec — recommendation or future action</w:t>
      </w:r>
    </w:p>
    <w:p>
      <w:pPr>
        <w:numPr>
          <w:ilvl w:val="0"/>
          <w:numId w:val="1007"/>
        </w:numPr>
        <w:spacing w:after="80" w:before="0" w:line="240" w:lineRule="auto"/>
      </w:pPr>
      <w:r>
        <w:t xml:space="preserve">FP-Gen — general or topic-naming use (including many</w:t>
      </w:r>
      <w:r>
        <w:t xml:space="preserve"> </w:t>
      </w:r>
      <w:r>
        <w:t xml:space="preserve">“</w:t>
      </w:r>
      <w:r>
        <w:t xml:space="preserve">potential + noun</w:t>
      </w:r>
      <w:r>
        <w:t xml:space="preserve">”</w:t>
      </w:r>
      <w:r>
        <w:t xml:space="preserve"> </w:t>
      </w:r>
      <w:r>
        <w:t xml:space="preserve">cases)</w:t>
      </w:r>
    </w:p>
    <w:p>
      <w:pPr>
        <w:numPr>
          <w:ilvl w:val="0"/>
          <w:numId w:val="1007"/>
        </w:numPr>
        <w:spacing w:after="80" w:before="0" w:line="240" w:lineRule="auto"/>
      </w:pPr>
      <w:r>
        <w:t xml:space="preserve">FP-Proc — procedural or routine description</w:t>
      </w:r>
    </w:p>
    <w:p>
      <w:pPr>
        <w:numPr>
          <w:ilvl w:val="0"/>
          <w:numId w:val="1007"/>
        </w:numPr>
        <w:spacing w:after="80" w:before="0" w:line="240" w:lineRule="auto"/>
      </w:pPr>
      <w:r>
        <w:t xml:space="preserve">FP-Loc — locative or textual pointing</w:t>
      </w:r>
    </w:p>
    <w:p>
      <w:pPr>
        <w:pStyle w:val="FirstParagraph"/>
        <w:spacing w:before="200" w:after="120" w:line="240" w:lineRule="auto"/>
      </w:pPr>
      <w:r>
        <w:rPr>
          <w:b/>
        </w:rPr>
        <w:t xml:space="preserve">LAYER 3 (OPTIONAL): UNHEDGED ASSERTION SITES (NEUTRAL GREY)</w:t>
      </w:r>
    </w:p>
    <w:p>
      <w:pPr>
        <w:pStyle w:val="BodyText"/>
        <w:spacing w:after="80" w:before="0" w:line="240" w:lineRule="auto"/>
      </w:pPr>
      <w:r>
        <w:t xml:space="preserve">Mark claim-bearing clauses that are stated directly and confidently, with no hedge. Reverse test: if a hedge could be inserted without changing the underlying facts, the clause is markable. Procedural statements are never markable.</w:t>
      </w:r>
    </w:p>
    <w:p>
      <w:pPr>
        <w:pStyle w:val="BodyText"/>
        <w:spacing w:after="80" w:before="0" w:line="240" w:lineRule="auto"/>
      </w:pPr>
      <w:r>
        <w:t xml:space="preserve">Subtypes:</w:t>
      </w:r>
    </w:p>
    <w:p>
      <w:pPr>
        <w:numPr>
          <w:ilvl w:val="0"/>
          <w:numId w:val="1008"/>
        </w:numPr>
        <w:spacing w:after="80" w:before="0" w:line="240" w:lineRule="auto"/>
      </w:pPr>
      <w:r>
        <w:t xml:space="preserve">Result Claim [R] — a finding stated as settled fact</w:t>
      </w:r>
    </w:p>
    <w:p>
      <w:pPr>
        <w:numPr>
          <w:ilvl w:val="0"/>
          <w:numId w:val="1008"/>
        </w:numPr>
        <w:spacing w:after="80" w:before="0" w:line="240" w:lineRule="auto"/>
      </w:pPr>
      <w:r>
        <w:t xml:space="preserve">Generalization [G] — a broader inference beyond the immediate data</w:t>
      </w:r>
    </w:p>
    <w:p>
      <w:pPr>
        <w:numPr>
          <w:ilvl w:val="0"/>
          <w:numId w:val="1008"/>
        </w:numPr>
        <w:spacing w:after="80" w:before="0" w:line="240" w:lineRule="auto"/>
      </w:pPr>
      <w:r>
        <w:t xml:space="preserve">Causal Claim [C] — a cause-effect link stated as established</w:t>
      </w:r>
    </w:p>
    <w:p>
      <w:pPr>
        <w:pStyle w:val="FirstParagraph"/>
        <w:spacing w:after="80" w:before="0" w:line="240" w:lineRule="auto"/>
      </w:pPr>
      <w:r>
        <w:t xml:space="preserve">Layer 3 data are tracked separately so they never inflate the hedge counts used for the research questions.</w:t>
      </w:r>
    </w:p>
    <w:p>
      <w:pPr>
        <w:pStyle w:val="BodyText"/>
        <w:spacing w:before="200" w:after="120" w:line="240" w:lineRule="auto"/>
      </w:pPr>
      <w:r>
        <w:rPr>
          <w:b/>
        </w:rPr>
        <w:t xml:space="preserve">QUICK-REFERENCE LEGEND</w:t>
      </w:r>
    </w:p>
    <w:p>
      <w:pPr>
        <w:pStyle w:val="BodyText"/>
        <w:spacing w:after="80" w:before="0" w:line="240" w:lineRule="auto"/>
      </w:pPr>
      <w:r>
        <w:t xml:space="preserve">Colors are background highlights, not font colors.</w:t>
      </w:r>
    </w:p>
    <w:p>
      <w:pPr>
        <w:pStyle w:val="BodyText"/>
        <w:spacing w:after="80" w:before="0" w:line="240" w:lineRule="auto"/>
      </w:pPr>
      <w:r>
        <w:t xml:space="preserve">Type is marked by highlight color; function is marked by a short text label (or colored text). Struck-through tokens are rejected candidates. Grey marks unhedged assertion sites.</w:t>
      </w:r>
    </w:p>
    <w:p>
      <w:pPr>
        <w:pStyle w:val="BodyText"/>
        <w:spacing w:before="200" w:after="120" w:line="240" w:lineRule="auto"/>
      </w:pPr>
      <w:r>
        <w:rPr>
          <w:b/>
        </w:rPr>
        <w:t xml:space="preserve">COMBINED EXAMPLE</w:t>
      </w:r>
    </w:p>
    <w:p>
      <w:pPr>
        <w:pStyle w:val="BodyText"/>
        <w:spacing w:after="80" w:before="0" w:line="240" w:lineRule="auto"/>
      </w:pPr>
      <w:r>
        <w:t xml:space="preserve">“</w:t>
      </w:r>
      <w:r>
        <w:t xml:space="preserve">The results suggested (EC) that C. longa extracts are</w:t>
      </w:r>
      <w:r>
        <w:t xml:space="preserve"> </w:t>
      </w:r>
      <w:r>
        <w:rPr>
          <w:strike/>
        </w:rPr>
        <w:t xml:space="preserve">potential</w:t>
      </w:r>
      <w:r>
        <w:t xml:space="preserve"> </w:t>
      </w:r>
      <w:r>
        <w:t xml:space="preserve">(FP-Gen) alternative stains. PCR</w:t>
      </w:r>
      <w:r>
        <w:t xml:space="preserve"> </w:t>
      </w:r>
      <w:r>
        <w:rPr>
          <w:strike/>
        </w:rPr>
        <w:t xml:space="preserve">can</w:t>
      </w:r>
      <w:r>
        <w:t xml:space="preserve"> </w:t>
      </w:r>
      <w:r>
        <w:t xml:space="preserve">(FP-Cap) also detect low concentrations, while a prior line stated flatly that Results showed [R] no infection.</w:t>
      </w:r>
      <w:r>
        <w:t xml:space="preserve">”</w:t>
      </w:r>
    </w:p>
    <w:p>
      <w:pPr>
        <w:pStyle w:val="BodyText"/>
        <w:spacing w:after="80" w:before="0" w:line="240" w:lineRule="auto"/>
      </w:pPr>
      <w:r>
        <w:t xml:space="preserve">Blue and red highlights mark type. The function label sits next to the token. Strikethrough marks rejected candidates. Grey marks an unhedged site. Here</w:t>
      </w:r>
      <w:r>
        <w:t xml:space="preserve"> </w:t>
      </w:r>
      <w:r>
        <w:t xml:space="preserve">“</w:t>
      </w:r>
      <w:r>
        <w:t xml:space="preserve">potential</w:t>
      </w:r>
      <w:r>
        <w:t xml:space="preserve">”</w:t>
      </w:r>
      <w:r>
        <w:t xml:space="preserve"> </w:t>
      </w:r>
      <w:r>
        <w:t xml:space="preserve">is struck because it names a research property rather than hedging a claim.</w:t>
      </w:r>
    </w:p>
    <w:p>
      <w:pPr>
        <w:pStyle w:val="BodyText"/>
        <w:spacing w:before="200" w:after="120" w:line="240" w:lineRule="auto"/>
      </w:pPr>
      <w:r>
        <w:rPr>
          <w:b/>
        </w:rPr>
        <w:t xml:space="preserve">CODING SHEET COLUMNS</w:t>
      </w:r>
    </w:p>
    <w:p>
      <w:pPr>
        <w:pStyle w:val="BodyText"/>
        <w:spacing w:after="80" w:before="0" w:line="240" w:lineRule="auto"/>
      </w:pPr>
      <w:r>
        <w:t xml:space="preserve">The highlighted abstract is the authoritative record. The spreadsheet is only for tallying and analysis.</w:t>
      </w:r>
    </w:p>
    <w:p>
      <w:pPr>
        <w:pStyle w:val="BodyText"/>
        <w:spacing w:after="80" w:before="0" w:line="240" w:lineRule="auto"/>
      </w:pPr>
      <w:r>
        <w:t xml:space="preserve">Columns used: Abstract ID | Sentence # | Clause | Hedge Token | Type | Function | Word Count | Coder Notes</w:t>
      </w:r>
    </w:p>
    <w:p>
      <w:pPr>
        <w:pStyle w:val="BodyText"/>
        <w:spacing w:after="80" w:before="0" w:line="240" w:lineRule="auto"/>
      </w:pPr>
      <w:r>
        <w:t xml:space="preserve">Discipline codes: Acs1–A10 and Aas1–A10 (Agriculture), VM1–VM20 (Veterinary Medicine), B1–B20 (Biology).</w:t>
      </w:r>
    </w:p>
    <w:p>
      <w:pPr>
        <w:pStyle w:val="BodyText"/>
        <w:spacing w:after="80" w:before="0" w:line="240" w:lineRule="auto"/>
      </w:pPr>
      <w:r>
        <w:t xml:space="preserve">Optional tabs held Unhedged Assertion Sites and Rejected Hedge Candidates so that Layer 3 data and false positives stayed visible during the reliability check without contaminating the main counts.</w:t>
      </w:r>
      <w:r>
        <w:t xml:space="preserve"> </w:t>
      </w:r>
      <w:r/>
    </w:p>
    <w:p>
      <w:pPr>
        <w:spacing w:before="280" w:after="160" w:line="240" w:lineRule="auto"/>
      </w:pPr>
      <w:r>
        <w:rPr>
          <w:b/>
        </w:rPr>
        <w:t>APPENDIX B: PILOT SAMPLE ANALYSIS AND CODING VERIFICATION</w:t>
      </w:r>
    </w:p>
    <w:p>
      <w:pPr>
        <w:pStyle w:val="BodyText"/>
        <w:spacing w:after="80" w:before="0" w:line="240" w:lineRule="auto"/>
      </w:pPr>
      <w: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p>
    <w:p>
      <w:pPr>
        <w:pStyle w:val="BodyText"/>
        <w:spacing w:before="200" w:after="120" w:line="240" w:lineRule="auto"/>
      </w:pPr>
      <w:r>
        <w:rPr>
          <w:b/>
        </w:rPr>
        <w:t xml:space="preserve">Sample 1: Biology</w:t>
      </w:r>
    </w:p>
    <w:p>
      <w:pPr>
        <w:pStyle w:val="BodyText"/>
        <w:spacing w:after="80" w:before="0" w:line="240" w:lineRule="auto"/>
      </w:pPr>
      <w:r>
        <w:t xml:space="preserve">A field and laboratory monitoring was conducted at the Bureau of</w:t>
      </w:r>
      <w:r>
        <w:t xml:space="preserve"> </w:t>
      </w:r>
      <w:r>
        <w:t xml:space="preserve">Fisheries and Aquatic Resources Regional Fish Health Laboratory 3 (BFAR</w:t>
      </w:r>
      <w:r>
        <w:t xml:space="preserve"> </w:t>
      </w:r>
      <w:r>
        <w:t xml:space="preserve">RFHL3) and Zambales, Philippines to compare the effectiveness of Nested</w:t>
      </w:r>
      <w:r>
        <w:t xml:space="preserve"> </w:t>
      </w:r>
      <w:r>
        <w:t xml:space="preserve">Polymerase Chain Reaction and Micro-Insulated Isothermal PCR (Pocket) in</w:t>
      </w:r>
      <w:r>
        <w:t xml:space="preserve"> </w:t>
      </w:r>
      <w:r>
        <w:t xml:space="preserve">monitoring Acute Hepatopancreatic Necrosis Disease.</w:t>
      </w:r>
    </w:p>
    <w:p>
      <w:pPr>
        <w:pStyle w:val="BodyText"/>
        <w:spacing w:after="80" w:before="0" w:line="240" w:lineRule="auto"/>
      </w:pPr>
      <w:r>
        <w:t xml:space="preserve">A total of 33 samples were used in this study to compare the results of</w:t>
      </w:r>
      <w:r>
        <w:t xml:space="preserve"> </w:t>
      </w:r>
      <w:r>
        <w:t xml:space="preserve">Nested Polymerase Chain Reaction and Micro-Insulated Isothermal</w:t>
      </w:r>
      <w:r>
        <w:t xml:space="preserve"> </w:t>
      </w:r>
      <w:r>
        <w:t xml:space="preserve">Polymerase Chain Reaction (POCKIT) in monitoring Acute Hepatopancreatic</w:t>
      </w:r>
      <w:r>
        <w:t xml:space="preserve"> </w:t>
      </w:r>
      <w:r>
        <w:t xml:space="preserve">Necrosis Disease-causing Vibrio parahaemolyticus. The study used</w:t>
      </w:r>
      <w:r>
        <w:t xml:space="preserve"> </w:t>
      </w:r>
      <w:r>
        <w:t xml:space="preserve">collected shrimp samples, pre-detected samples, and positive and</w:t>
      </w:r>
      <w:r>
        <w:t xml:space="preserve"> </w:t>
      </w:r>
      <w:r>
        <w:t xml:space="preserve">negative standards for the detection of Acute Hepatopancreatic Necrosis</w:t>
      </w:r>
      <w:r>
        <w:t xml:space="preserve"> </w:t>
      </w:r>
      <w:r>
        <w:t xml:space="preserve">Disease-causing Vibrio parahaemolyticus on shrimp samples; bacterial</w:t>
      </w:r>
      <w:r>
        <w:t xml:space="preserve"> </w:t>
      </w:r>
      <w:r>
        <w:t xml:space="preserve">culture for vibrio sp. was also conducted as well as dna sequencing for</w:t>
      </w:r>
      <w:r>
        <w:t xml:space="preserve"> </w:t>
      </w:r>
      <w:r>
        <w:t xml:space="preserve">the confirmation of the results. The result showed negative results on</w:t>
      </w:r>
      <w:r>
        <w:t xml:space="preserve"> </w:t>
      </w:r>
      <w:r>
        <w:t xml:space="preserve">all the shrimp samples that led to the conclusion that all shrimp farms</w:t>
      </w:r>
      <w:r>
        <w:t xml:space="preserve"> </w:t>
      </w:r>
      <w:r>
        <w:t xml:space="preserve">were free from Acute Hepatopancreatic Necrosis Disease-causing Vibrio</w:t>
      </w:r>
      <w:r>
        <w:t xml:space="preserve"> </w:t>
      </w:r>
      <w:r>
        <w:t xml:space="preserve">parahaemolyticus.</w:t>
      </w:r>
    </w:p>
    <w:p>
      <w:pPr>
        <w:pStyle w:val="BodyText"/>
        <w:spacing w:after="80" w:before="0" w:line="240" w:lineRule="auto"/>
      </w:pPr>
      <w:r>
        <w:t xml:space="preserve">Hedge Count: 0</w:t>
      </w:r>
    </w:p>
    <w:p>
      <w:pPr>
        <w:pStyle w:val="BodyText"/>
        <w:spacing w:after="80" w:before="0" w:line="240" w:lineRule="auto"/>
      </w:pPr>
      <w:r>
        <w:t xml:space="preserve">Analysis: The abstract relies entirely on factive verbs (conducted,</w:t>
      </w:r>
      <w:r>
        <w:t xml:space="preserve"> </w:t>
      </w:r>
      <w:r>
        <w:t xml:space="preserve">showed, led to the conclusion). The final claim is presented as</w:t>
      </w:r>
      <w:r>
        <w:t xml:space="preserve"> </w:t>
      </w:r>
      <w:r>
        <w:t xml:space="preserve">categorical with no qualification.</w:t>
      </w:r>
    </w:p>
    <w:p>
      <w:pPr>
        <w:pStyle w:val="BodyText"/>
        <w:spacing w:after="80" w:before="0" w:line="240" w:lineRule="auto"/>
      </w:pPr>
      <w:r>
        <w:t xml:space="preserve">Key Excerpt:</w:t>
      </w:r>
      <w:r>
        <w:t xml:space="preserve"> </w:t>
      </w:r>
      <w:r>
        <w:t xml:space="preserve">“</w:t>
      </w:r>
      <w:r>
        <w:t xml:space="preserve">The result showed negative results that led to the</w:t>
      </w:r>
      <w:r>
        <w:t xml:space="preserve"> </w:t>
      </w:r>
      <w:r>
        <w:t xml:space="preserve">conclusion that all shrimp farms were free…</w:t>
      </w:r>
      <w:r>
        <w:t xml:space="preserve">”</w:t>
      </w:r>
    </w:p>
    <w:p>
      <w:pPr>
        <w:pStyle w:val="BodyText"/>
        <w:spacing w:before="200" w:after="120" w:line="240" w:lineRule="auto"/>
      </w:pPr>
      <w:r>
        <w:rPr>
          <w:b/>
        </w:rPr>
        <w:t xml:space="preserve">Sample 2: Veterinary Medicine</w:t>
      </w:r>
    </w:p>
    <w:p>
      <w:pPr>
        <w:pStyle w:val="BodyText"/>
        <w:spacing w:after="80" w:before="0" w:line="240" w:lineRule="auto"/>
      </w:pPr>
      <w:r>
        <w:t xml:space="preserve">The study was conducted to determine and compare the staining effect of</w:t>
      </w:r>
      <w:r>
        <w:t xml:space="preserve"> </w:t>
      </w:r>
      <w:r>
        <w:t xml:space="preserve">C. longa, I. batatas and M. acuminata aqueous extracts for gonad</w:t>
      </w:r>
      <w:r>
        <w:t xml:space="preserve"> </w:t>
      </w:r>
      <w:r>
        <w:t xml:space="preserve">examination of Nile tilapia. Twelve Nile tilapia fingerlings, with</w:t>
      </w:r>
      <w:r>
        <w:t xml:space="preserve"> </w:t>
      </w:r>
      <w:r>
        <w:t xml:space="preserve">approximately two and one-half to four-inch size, were divided into four</w:t>
      </w:r>
      <w:r>
        <w:t xml:space="preserve"> </w:t>
      </w:r>
      <w:r>
        <w:t xml:space="preserve">treatments with three replicates each. Treatment 1 was assigned as the</w:t>
      </w:r>
      <w:r>
        <w:t xml:space="preserve"> </w:t>
      </w:r>
      <w:r>
        <w:t xml:space="preserve">positive control, which were stained with malachite green, while</w:t>
      </w:r>
      <w:r>
        <w:t xml:space="preserve"> </w:t>
      </w:r>
      <w:r>
        <w:t xml:space="preserve">Treatments 2, 3 and 4 were stained with C. longa, I. batatas and M.</w:t>
      </w:r>
      <w:r>
        <w:t xml:space="preserve"> </w:t>
      </w:r>
      <w:r>
        <w:t xml:space="preserve">acuminata extracts, respectively. The prepared slides of stained gonads</w:t>
      </w:r>
      <w:r>
        <w:t xml:space="preserve"> </w:t>
      </w:r>
      <w:r>
        <w:t xml:space="preserve">were randomly distributed on the microscopes using completely randomized</w:t>
      </w:r>
      <w:r>
        <w:t xml:space="preserve"> </w:t>
      </w:r>
      <w:r>
        <w:t xml:space="preserve">design (CRD). Blind examination and evaluation by five faculty members</w:t>
      </w:r>
      <w:r>
        <w:t xml:space="preserve"> </w:t>
      </w:r>
      <w:r>
        <w:t xml:space="preserve">was done on the stained unlabeled tissues under the microscopes. The</w:t>
      </w:r>
      <w:r>
        <w:t xml:space="preserve"> </w:t>
      </w:r>
      <w:r>
        <w:t xml:space="preserve">tissues were evaluated according to five parameters: hue, saturation,</w:t>
      </w:r>
      <w:r>
        <w:t xml:space="preserve"> </w:t>
      </w:r>
      <w:r>
        <w:t xml:space="preserve">contrast, clarity and overall appearance. A scoring scheme was followed,</w:t>
      </w:r>
      <w:r>
        <w:t xml:space="preserve"> </w:t>
      </w:r>
      <w:r>
        <w:t xml:space="preserve">i.e. 1 to 2 – very poor; 3 to 4 – poor; 5 to 6 – average; 7 to 8 – good;</w:t>
      </w:r>
      <w:r>
        <w:t xml:space="preserve"> </w:t>
      </w:r>
      <w:r>
        <w:t xml:space="preserve">and 9 to 10 – excellent. Data gathered were subjected to one-way</w:t>
      </w:r>
      <w:r>
        <w:t xml:space="preserve"> </w:t>
      </w:r>
      <w:r>
        <w:t xml:space="preserve">analysis of variance (ANOVA). The results suggested that C. longa, I.</w:t>
      </w:r>
      <w:r>
        <w:t xml:space="preserve"> </w:t>
      </w:r>
      <w:r>
        <w:t xml:space="preserve">batatas and M. acuminata extracts are potential alternative stains for</w:t>
      </w:r>
      <w:r>
        <w:t xml:space="preserve"> </w:t>
      </w:r>
      <w:r>
        <w:t xml:space="preserve">gonadal examination of Nile tilapia with M. acuminata as the most</w:t>
      </w:r>
      <w:r>
        <w:t xml:space="preserve"> </w:t>
      </w:r>
      <w:r>
        <w:t xml:space="preserve">preferred.</w:t>
      </w:r>
    </w:p>
    <w:p>
      <w:pPr>
        <w:pStyle w:val="BodyText"/>
        <w:spacing w:after="80" w:before="0" w:line="240" w:lineRule="auto"/>
      </w:pPr>
      <w:r>
        <w:t xml:space="preserve">Hedge Count: 2</w:t>
      </w:r>
    </w:p>
    <w:p>
      <w:pPr>
        <w:pStyle w:val="BodyText"/>
        <w:spacing w:after="80" w:before="0" w:line="240" w:lineRule="auto"/>
      </w:pPr>
      <w:r>
        <w:t xml:space="preserve">Analysis: This abstract demonstrates awareness of claim management. Both</w:t>
      </w:r>
      <w:r>
        <w:t xml:space="preserve"> </w:t>
      </w:r>
      <w:r>
        <w:t xml:space="preserve">hedges serve to qualify the final conclusion.</w:t>
      </w:r>
    </w:p>
    <w:p>
      <w:pPr>
        <w:pStyle w:val="BodyText"/>
        <w:spacing w:after="80" w:before="0" w:line="240" w:lineRule="auto"/>
      </w:pPr>
      <w:r>
        <w:t xml:space="preserve">Coded Instances:</w:t>
      </w:r>
    </w:p>
    <w:p>
      <w:pPr>
        <w:pStyle w:val="BodyText"/>
        <w:spacing w:after="80" w:before="0" w:line="240" w:lineRule="auto"/>
      </w:pPr>
      <w:r>
        <w:t xml:space="preserve">“</w:t>
      </w:r>
      <w:r>
        <w:t xml:space="preserve">The results suggested that…</w:t>
      </w:r>
      <w:r>
        <w:t xml:space="preserve">”</w:t>
      </w:r>
      <w:r>
        <w:t xml:space="preserve"> </w:t>
      </w:r>
      <w:r>
        <w:t xml:space="preserve">(Lexical Verb - Epistemic Caution)</w:t>
      </w:r>
    </w:p>
    <w:p>
      <w:pPr>
        <w:pStyle w:val="BodyText"/>
        <w:spacing w:after="80" w:before="0" w:line="240" w:lineRule="auto"/>
      </w:pPr>
      <w:r>
        <w:t xml:space="preserve">“</w:t>
      </w:r>
      <w:r>
        <w:t xml:space="preserve">…extracts are potential alternative stains…</w:t>
      </w:r>
      <w:r>
        <w:t xml:space="preserve">”</w:t>
      </w:r>
      <w:r>
        <w:t xml:space="preserve"> </w:t>
      </w:r>
      <w:r>
        <w:t xml:space="preserve">(Lexical Adjective -</w:t>
      </w:r>
      <w:r>
        <w:t xml:space="preserve"> </w:t>
      </w:r>
      <w:r>
        <w:t xml:space="preserve">Epistemic Caution)</w:t>
      </w:r>
    </w:p>
    <w:p>
      <w:pPr>
        <w:pStyle w:val="BodyText"/>
        <w:spacing w:after="80" w:before="0" w:line="240" w:lineRule="auto"/>
      </w:pPr>
      <w:r>
        <w:t xml:space="preserve">Excluded:</w:t>
      </w:r>
      <w:r>
        <w:t xml:space="preserve"> </w:t>
      </w:r>
      <w:r>
        <w:t xml:space="preserve">“</w:t>
      </w:r>
      <w:r>
        <w:t xml:space="preserve">approximately two and one-half</w:t>
      </w:r>
      <w:r>
        <w:t xml:space="preserve">”</w:t>
      </w:r>
      <w:r>
        <w:t xml:space="preserve"> </w:t>
      </w:r>
      <w:r>
        <w:t xml:space="preserve">(Procedural measurement, not</w:t>
      </w:r>
      <w:r>
        <w:t xml:space="preserve"> </w:t>
      </w:r>
      <w:r>
        <w:t xml:space="preserve">epistemic).</w:t>
      </w:r>
    </w:p>
    <w:p>
      <w:pPr>
        <w:pStyle w:val="BodyText"/>
        <w:spacing w:before="200" w:after="120" w:line="240" w:lineRule="auto"/>
      </w:pPr>
      <w:r>
        <w:rPr>
          <w:b/>
        </w:rPr>
        <w:t xml:space="preserve">Sample 3: Agriculture (Animal Science)</w:t>
      </w:r>
    </w:p>
    <w:p>
      <w:pPr>
        <w:pStyle w:val="BodyText"/>
        <w:spacing w:after="80" w:before="0" w:line="240" w:lineRule="auto"/>
      </w:pPr>
      <w:r>
        <w:t xml:space="preserve">The study was conducted for 7 days from July 07 to July 13, 2022 at</w:t>
      </w:r>
      <w:r>
        <w:t xml:space="preserve"> </w:t>
      </w:r>
      <w:r>
        <w:t xml:space="preserve">Brgy. San Roque, Magalang, Pampanga. The general objective of the study</w:t>
      </w:r>
      <w:r>
        <w:t xml:space="preserve"> </w:t>
      </w:r>
      <w:r>
        <w:t xml:space="preserve">was to determine the acceptability and palatability of duck ham</w:t>
      </w:r>
      <w:r>
        <w:t xml:space="preserve"> </w:t>
      </w:r>
      <w:r>
        <w:t xml:space="preserve">subjected to different curing process. Specifically, it aimed to find</w:t>
      </w:r>
      <w:r>
        <w:t xml:space="preserve"> </w:t>
      </w:r>
      <w:r>
        <w:t xml:space="preserve">the sensory evaluation: appearance; aroma; taste/ flavor; texture; and</w:t>
      </w:r>
      <w:r>
        <w:t xml:space="preserve"> </w:t>
      </w:r>
      <w:r>
        <w:t xml:space="preserve">over-all acceptability. A total of eight (8) Muscovy ducks were used in</w:t>
      </w:r>
      <w:r>
        <w:t xml:space="preserve"> </w:t>
      </w:r>
      <w:r>
        <w:t xml:space="preserve">this study. The study used Hedonic Likert Scale and was subjected to</w:t>
      </w:r>
      <w:r>
        <w:t xml:space="preserve"> </w:t>
      </w:r>
      <w:r>
        <w:t xml:space="preserve">Desriptive analysis. Factor A = Type of curing and Factor B = Spice rub.</w:t>
      </w:r>
      <w:r>
        <w:t xml:space="preserve"> </w:t>
      </w:r>
      <w:r>
        <w:t xml:space="preserve">The treatments used in this study are the following. A₁ B₁ - Dry</w:t>
      </w:r>
      <w:r>
        <w:t xml:space="preserve"> </w:t>
      </w:r>
      <w:r>
        <w:t xml:space="preserve">curing + Oregano, A₁ B₂ - Dry curing + Lemon grass, A₂ B₁ - Liquid</w:t>
      </w:r>
      <w:r>
        <w:t xml:space="preserve"> </w:t>
      </w:r>
      <w:r>
        <w:t xml:space="preserve">curing + Oregano and A₁ B₂ - Liquid curing + Lemon grass. The sensory</w:t>
      </w:r>
      <w:r>
        <w:t xml:space="preserve"> </w:t>
      </w:r>
      <w:r>
        <w:t xml:space="preserve">evaluation was conducted at Pampanga State Agricultural University, PAC,</w:t>
      </w:r>
      <w:r>
        <w:t xml:space="preserve"> </w:t>
      </w:r>
      <w:r>
        <w:t xml:space="preserve">Magalang, Pampanga. Ten (10) college students, ten (10) teachers and ten</w:t>
      </w:r>
      <w:r>
        <w:t xml:space="preserve"> </w:t>
      </w:r>
      <w:r>
        <w:t xml:space="preserve">(10) people who don’t eat duck were selected as respondents to evaluate</w:t>
      </w:r>
      <w:r>
        <w:t xml:space="preserve"> </w:t>
      </w:r>
      <w:r>
        <w:t xml:space="preserve">the sample treatments. The data collected from the sensory evaluation</w:t>
      </w:r>
      <w:r>
        <w:t xml:space="preserve"> </w:t>
      </w:r>
      <w:r>
        <w:t xml:space="preserve">were analysed using descriptive statistics.</w:t>
      </w:r>
    </w:p>
    <w:p>
      <w:pPr>
        <w:pStyle w:val="BodyText"/>
        <w:spacing w:after="80" w:before="0" w:line="240" w:lineRule="auto"/>
      </w:pPr>
      <w:r>
        <w:t xml:space="preserve">Results of the study showed that Comparison on Curing Methods Using</w:t>
      </w:r>
      <w:r>
        <w:t xml:space="preserve"> </w:t>
      </w:r>
      <w:r>
        <w:t xml:space="preserve">Oregano - dry cured duck ham had the highest rating with regards to</w:t>
      </w:r>
      <w:r>
        <w:t xml:space="preserve"> </w:t>
      </w:r>
      <w:r>
        <w:t xml:space="preserve">appearance, texture and overall acceptability. While liquid cure duck</w:t>
      </w:r>
      <w:r>
        <w:t xml:space="preserve"> </w:t>
      </w:r>
      <w:r>
        <w:t xml:space="preserve">ham got the highest rating in terms of aroma and taste/flavor.</w:t>
      </w:r>
      <w:r>
        <w:t xml:space="preserve"> </w:t>
      </w:r>
      <w:r>
        <w:t xml:space="preserve">Comparison on Curing Methods Using Lemon Grass - liquid cured duck ham</w:t>
      </w:r>
      <w:r>
        <w:t xml:space="preserve"> </w:t>
      </w:r>
      <w:r>
        <w:t xml:space="preserve">had the highest rating in terms to appearance, aroma, taste/flavor,</w:t>
      </w:r>
      <w:r>
        <w:t xml:space="preserve"> </w:t>
      </w:r>
      <w:r>
        <w:t xml:space="preserve">texture and overall acceptability. Comparison of Spices on Dry Curing</w:t>
      </w:r>
      <w:r>
        <w:t xml:space="preserve"> </w:t>
      </w:r>
      <w:r>
        <w:t xml:space="preserve">(Smoking) - dry cure duck ham smoked in lemon grass had the highest</w:t>
      </w:r>
      <w:r>
        <w:t xml:space="preserve"> </w:t>
      </w:r>
      <w:r>
        <w:t xml:space="preserve">rating in terms of appearance, aroma, taste/flavor, texture and overall</w:t>
      </w:r>
      <w:r>
        <w:t xml:space="preserve"> </w:t>
      </w:r>
      <w:r>
        <w:t xml:space="preserve">acceptability. Comparison of Spices on Liquid Smoke - liquid cured duck</w:t>
      </w:r>
      <w:r>
        <w:t xml:space="preserve"> </w:t>
      </w:r>
      <w:r>
        <w:t xml:space="preserve">ham smoked in lemon grass had the highest rating in relation to</w:t>
      </w:r>
      <w:r>
        <w:t xml:space="preserve"> </w:t>
      </w:r>
      <w:r>
        <w:t xml:space="preserve">appearance, aroma, taste/flavor, texture and overall acceptability.</w:t>
      </w:r>
      <w:r>
        <w:t xml:space="preserve"> </w:t>
      </w:r>
      <w:r>
        <w:t xml:space="preserve">Descriptive rating revealed that all the treatment with regards to</w:t>
      </w:r>
      <w:r>
        <w:t xml:space="preserve"> </w:t>
      </w:r>
      <w:r>
        <w:t xml:space="preserve">appearance, aroma, taste/flavor, texture and overall acceptability were</w:t>
      </w:r>
      <w:r>
        <w:t xml:space="preserve"> </w:t>
      </w:r>
      <w:r>
        <w:t xml:space="preserve">rated moderately like.</w:t>
      </w:r>
    </w:p>
    <w:p>
      <w:pPr>
        <w:pStyle w:val="BodyText"/>
        <w:spacing w:after="80" w:before="0" w:line="240" w:lineRule="auto"/>
      </w:pPr>
      <w:r>
        <w:t xml:space="preserve">Hedge Count: 0</w:t>
      </w:r>
    </w:p>
    <w:p>
      <w:pPr>
        <w:pStyle w:val="BodyText"/>
        <w:spacing w:after="80" w:before="0" w:line="240" w:lineRule="auto"/>
      </w:pPr>
      <w:r>
        <w:t xml:space="preserve">Analysis: The abstract uses factive reporting verbs (showed, revealed).</w:t>
      </w:r>
      <w:r>
        <w:t xml:space="preserve"> </w:t>
      </w:r>
      <w:r>
        <w:t xml:space="preserve">Sensory evaluation ratings are reported as absolute data points. The</w:t>
      </w:r>
      <w:r>
        <w:t xml:space="preserve"> </w:t>
      </w:r>
      <w:r>
        <w:t xml:space="preserve">term</w:t>
      </w:r>
      <w:r>
        <w:t xml:space="preserve"> </w:t>
      </w:r>
      <w:r>
        <w:t xml:space="preserve">“</w:t>
      </w:r>
      <w:r>
        <w:t xml:space="preserve">moderately like</w:t>
      </w:r>
      <w:r>
        <w:t xml:space="preserve">”</w:t>
      </w:r>
      <w:r>
        <w:t xml:space="preserve"> </w:t>
      </w:r>
      <w:r>
        <w:t xml:space="preserve">describes a Likert scale variable, not an</w:t>
      </w:r>
      <w:r>
        <w:t xml:space="preserve"> </w:t>
      </w:r>
      <w:r>
        <w:t xml:space="preserve">epistemic qualification.</w:t>
      </w:r>
    </w:p>
    <w:p>
      <w:pPr>
        <w:pStyle w:val="BodyText"/>
        <w:spacing w:after="80" w:before="0" w:line="240" w:lineRule="auto"/>
      </w:pPr>
      <w:r>
        <w:t xml:space="preserve">Key Excerpt:</w:t>
      </w:r>
      <w:r>
        <w:t xml:space="preserve"> </w:t>
      </w:r>
      <w:r>
        <w:t xml:space="preserve">“</w:t>
      </w:r>
      <w:r>
        <w:t xml:space="preserve">Results of the study showed that Comparison on Curing</w:t>
      </w:r>
      <w:r>
        <w:t xml:space="preserve"> </w:t>
      </w:r>
      <w:r>
        <w:t xml:space="preserve">Methods…</w:t>
      </w:r>
      <w:r>
        <w:t xml:space="preserve">”</w:t>
      </w:r>
    </w:p>
    <w:p>
      <w:pPr>
        <w:pStyle w:val="BodyText"/>
        <w:spacing w:before="200" w:after="120" w:line="240" w:lineRule="auto"/>
      </w:pPr>
      <w:r>
        <w:rPr>
          <w:b/>
        </w:rPr>
        <w:t xml:space="preserve">Sample 4: Agriculture (Crop Science)</w:t>
      </w:r>
    </w:p>
    <w:p>
      <w:pPr>
        <w:pStyle w:val="BodyText"/>
        <w:spacing w:after="80" w:before="0" w:line="240" w:lineRule="auto"/>
      </w:pPr>
      <w:r>
        <w:t xml:space="preserve">The study was conducted from June to July 2022 to determine the</w:t>
      </w:r>
      <w:r>
        <w:t xml:space="preserve"> </w:t>
      </w:r>
      <w:r>
        <w:t xml:space="preserve">influence of the different sources of nutrients to rice straw mushrooms.</w:t>
      </w:r>
      <w:r>
        <w:t xml:space="preserve"> </w:t>
      </w:r>
      <w:r>
        <w:t xml:space="preserve">The field experiment was conducted in Sitio Pitabacan, San Ildefonso,</w:t>
      </w:r>
      <w:r>
        <w:t xml:space="preserve"> </w:t>
      </w:r>
      <w:r>
        <w:t xml:space="preserve">Magalang, Pampanga. The experiment was laid out using Complete Randomize</w:t>
      </w:r>
      <w:r>
        <w:t xml:space="preserve"> </w:t>
      </w:r>
      <w:r>
        <w:t xml:space="preserve">Design (CRD), with four treatments replicated four times. The treatments</w:t>
      </w:r>
      <w:r>
        <w:t xml:space="preserve"> </w:t>
      </w:r>
      <w:r>
        <w:t xml:space="preserve">were as follows: T₀- Untreated banana leaves substrate submerged in 55</w:t>
      </w:r>
      <w:r>
        <w:t xml:space="preserve"> </w:t>
      </w:r>
      <w:r>
        <w:t xml:space="preserve">gallon of water (Control); T₁- Banana leaves substrate submerged in</w:t>
      </w:r>
      <w:r>
        <w:t xml:space="preserve"> </w:t>
      </w:r>
      <w:r>
        <w:t xml:space="preserve">mixture of 100 grams of Urea and 55 gallons of water; T₂- Banana leaves</w:t>
      </w:r>
      <w:r>
        <w:t xml:space="preserve"> </w:t>
      </w:r>
      <w:r>
        <w:t xml:space="preserve">substrate submerged in mixture of 250 ml of fish amino acid and 55</w:t>
      </w:r>
      <w:r>
        <w:t xml:space="preserve"> </w:t>
      </w:r>
      <w:r>
        <w:t xml:space="preserve">gallons of water; and, T₃- Banana leaves substrate submerged in mixture</w:t>
      </w:r>
      <w:r>
        <w:t xml:space="preserve"> </w:t>
      </w:r>
      <w:r>
        <w:t xml:space="preserve">of 250 ml of fermented plant juice and 55 gallons of water.</w:t>
      </w:r>
    </w:p>
    <w:p>
      <w:pPr>
        <w:pStyle w:val="BodyText"/>
        <w:spacing w:after="80" w:before="0" w:line="240" w:lineRule="auto"/>
      </w:pPr>
      <w:r>
        <w:t xml:space="preserve">Results of the study revealed significant differences in the following</w:t>
      </w:r>
      <w:r>
        <w:t xml:space="preserve"> </w:t>
      </w:r>
      <w:r>
        <w:t xml:space="preserve">parameters: average weight of button harvested, number of buttons</w:t>
      </w:r>
      <w:r>
        <w:t xml:space="preserve"> </w:t>
      </w:r>
      <w:r>
        <w:t xml:space="preserve">harvested, average yield per harvest, and biological efficiency of rice</w:t>
      </w:r>
      <w:r>
        <w:t xml:space="preserve"> </w:t>
      </w:r>
      <w:r>
        <w:t xml:space="preserve">straw mushroom. However, insignificant differences were observed on the</w:t>
      </w:r>
      <w:r>
        <w:t xml:space="preserve"> </w:t>
      </w:r>
      <w:r>
        <w:t xml:space="preserve">days of pinhead appearance and days of harvesting. The highest ROI was</w:t>
      </w:r>
      <w:r>
        <w:t xml:space="preserve"> </w:t>
      </w:r>
      <w:r>
        <w:t xml:space="preserve">obtained in T₁- Banana leaves substrate submerged in a mixture of 100</w:t>
      </w:r>
      <w:r>
        <w:t xml:space="preserve"> </w:t>
      </w:r>
      <w:r>
        <w:t xml:space="preserve">grams of Urea and 55 gallons of water with every peso of investment 1.01</w:t>
      </w:r>
      <w:r>
        <w:t xml:space="preserve"> </w:t>
      </w:r>
      <w:r>
        <w:t xml:space="preserve">pesos of net income return.</w:t>
      </w:r>
    </w:p>
    <w:p>
      <w:pPr>
        <w:pStyle w:val="BodyText"/>
        <w:spacing w:after="80" w:before="0" w:line="240" w:lineRule="auto"/>
      </w:pPr>
      <w:r>
        <w:t xml:space="preserve">Hedge Count: 0</w:t>
      </w:r>
    </w:p>
    <w:p>
      <w:pPr>
        <w:pStyle w:val="BodyText"/>
        <w:spacing w:after="80" w:before="0" w:line="240" w:lineRule="auto"/>
      </w:pPr>
      <w:r>
        <w:t xml:space="preserve">Analysis: Statistical significance is reported as fact (revealed</w:t>
      </w:r>
      <w:r>
        <w:t xml:space="preserve"> </w:t>
      </w:r>
      <w:r>
        <w:t xml:space="preserve">significant differences). No devices are used to qualify the biological</w:t>
      </w:r>
      <w:r>
        <w:t xml:space="preserve"> </w:t>
      </w:r>
      <w:r>
        <w:t xml:space="preserve">efficiency or yield claims.</w:t>
      </w:r>
    </w:p>
    <w:p>
      <w:pPr>
        <w:pStyle w:val="BodyText"/>
        <w:spacing w:after="80" w:before="0" w:line="240" w:lineRule="auto"/>
      </w:pPr>
      <w:r>
        <w:t xml:space="preserve">Key Excerpt:</w:t>
      </w:r>
      <w:r>
        <w:t xml:space="preserve"> </w:t>
      </w:r>
      <w:r>
        <w:t xml:space="preserve">“</w:t>
      </w:r>
      <w:r>
        <w:t xml:space="preserve">Results of the study revealed significant differences…</w:t>
      </w:r>
      <w:r>
        <w:t xml:space="preserve"> </w:t>
      </w:r>
      <w:r>
        <w:t xml:space="preserve">The highest ROI was obtained…</w:t>
      </w:r>
      <w:r>
        <w:t xml:space="preserve">”</w:t>
      </w:r>
    </w:p>
    <w:p>
      <w:pPr>
        <w:pStyle w:val="BodyText"/>
        <w:spacing w:before="200" w:after="120" w:line="240" w:lineRule="auto"/>
      </w:pPr>
      <w:r>
        <w:rPr>
          <w:b/>
        </w:rPr>
        <w:t xml:space="preserve">General observation from the pilot</w:t>
      </w:r>
    </w:p>
    <w:p>
      <w:pPr>
        <w:pStyle w:val="BodyText"/>
        <w:spacing w:after="80" w:before="0" w:line="240" w:lineRule="auto"/>
      </w:pPr>
      <w:r>
        <w:t xml:space="preserve">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p>
    <w:p>
      <w:pPr>
        <w:spacing w:before="200" w:after="120" w:line="240" w:lineRule="auto"/>
        <w:jc w:val="center"/>
      </w:pPr>
      <w:r>
        <w:rPr>
          <w:rFonts w:ascii="Georgia" w:hAnsi="Georgia" w:eastAsia="Georgia"/>
          <w:b/>
          <w:i w:val="0"/>
          <w:sz w:val="28"/>
        </w:rPr>
        <w:t>APPENDIX C: CODED CORPUS WITH HIGHLIGHTS</w:t>
      </w:r>
    </w:p>
    <w:p>
      <w:pPr>
        <w:spacing w:before="0" w:after="40" w:line="240" w:lineRule="auto"/>
      </w:pPr>
      <w:r>
        <w:rPr>
          <w:rFonts w:ascii="Georgia" w:hAnsi="Georgia" w:eastAsia="Georgia"/>
          <w:b w:val="0"/>
          <w:i w:val="0"/>
          <w:sz w:val="22"/>
        </w:rPr>
      </w:r>
    </w:p>
    <w:p>
      <w:pPr>
        <w:spacing w:line="240" w:lineRule="auto" w:before="0" w:after="80"/>
        <w:ind w:firstLine="720"/>
        <w:jc w:val="both"/>
      </w:pPr>
      <w:r>
        <w:rPr>
          <w:rFonts w:ascii="Georgia" w:hAnsi="Georgia" w:eastAsia="Georgia"/>
          <w:b w:val="0"/>
          <w:i w:val="0"/>
          <w:sz w:val="22"/>
        </w:rPr>
        <w:t>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p>
    <w:p>
      <w:pPr>
        <w:spacing w:before="0" w:after="80" w:line="240" w:lineRule="auto"/>
        <w:jc w:val="center"/>
      </w:pPr>
      <w:r>
        <w:rPr>
          <w:rFonts w:ascii="Georgia" w:hAnsi="Georgia" w:eastAsia="Georgia"/>
          <w:b/>
          <w:i w:val="0"/>
          <w:sz w:val="24"/>
        </w:rPr>
        <w:t>Biology (B1–B20)</w:t>
      </w:r>
    </w:p>
    <w:p>
      <w:pPr>
        <w:spacing w:before="0" w:after="80" w:line="240" w:lineRule="auto"/>
        <w:jc w:val="left"/>
      </w:pPr>
      <w:r>
        <w:rPr>
          <w:rFonts w:ascii="Georgia" w:hAnsi="Georgia" w:eastAsia="Georgia"/>
          <w:b/>
          <w:i w:val="0"/>
          <w:sz w:val="24"/>
        </w:rPr>
        <w:t>B1  ·  258 words  ·  2 hedges  ·  0.78 per 100 words</w:t>
      </w:r>
    </w:p>
    <w:p>
      <w:pPr>
        <w:spacing w:line="240" w:lineRule="auto" w:before="0" w:after="80"/>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0" w:after="80" w:line="240" w:lineRule="auto"/>
        <w:jc w:val="left"/>
      </w:pPr>
      <w:r>
        <w:rPr>
          <w:rFonts w:ascii="Georgia" w:hAnsi="Georgia" w:eastAsia="Georgia"/>
          <w:b/>
          <w:i w:val="0"/>
          <w:sz w:val="24"/>
        </w:rPr>
        <w:t>B2  ·  189 words  ·  0 hedges  ·  0.0 per 100 words</w:t>
      </w:r>
    </w:p>
    <w:p>
      <w:pPr>
        <w:spacing w:line="240" w:lineRule="auto" w:before="0" w:after="80"/>
        <w:jc w:val="both"/>
      </w:pPr>
      <w:r>
        <w:rPr>
          <w:rFonts w:ascii="Georgia" w:hAnsi="Georgia" w:eastAsia="Georgia"/>
          <w:b w:val="0"/>
          <w:i w:val="0"/>
          <w:color w:val="000000"/>
          <w:sz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b/>
          <w:strike/>
          <w:color w:val="000000"/>
          <w:sz w:val="22"/>
        </w:rPr>
        <w:t>indicate</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the zone of inhibition in the evaluation of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Balitbitan on Mueller Hinton Agar. The treatment evaluated as follows: T1 (Balitbitan extract in Methanol), T2 (Balitbitan extract in Hexane) and T3 (Balitbitan extract in DCM). The result of antibacterial testing </w:t>
      </w:r>
      <w:r>
        <w:rPr>
          <w:rFonts w:ascii="Georgia" w:hAnsi="Georgia" w:eastAsia="Georgia"/>
          <w:b/>
          <w:strike w:val="0"/>
          <w:color w:val="000000"/>
          <w:sz w:val="22"/>
          <w:shd w:val="clear" w:color="auto" w:fill="BFBFBF"/>
        </w:rPr>
        <w:t>revealed that the Partial Fraction of Balitbitan (Cynometra ramiflora) did not possess the property to inhibit the growth of Staphylococcus aureus and Escherichia coli</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There was no zone of inhibition when treated with the partial fraction of Balitbitan</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0" w:after="80" w:line="240" w:lineRule="auto"/>
        <w:jc w:val="left"/>
      </w:pPr>
      <w:r>
        <w:rPr>
          <w:rFonts w:ascii="Georgia" w:hAnsi="Georgia" w:eastAsia="Georgia"/>
          <w:b/>
          <w:i w:val="0"/>
          <w:sz w:val="24"/>
        </w:rPr>
        <w:t>B3  ·  142 words  ·  1 hedges  ·  0.7 per 100 words</w:t>
      </w:r>
    </w:p>
    <w:p>
      <w:pPr>
        <w:spacing w:line="240" w:lineRule="auto" w:before="0" w:after="80"/>
        <w:jc w:val="both"/>
      </w:pPr>
      <w:r>
        <w:rPr>
          <w:rFonts w:ascii="Georgia" w:hAnsi="Georgia" w:eastAsia="Georgia"/>
          <w:b w:val="0"/>
          <w:i w:val="0"/>
          <w:color w:val="000000"/>
          <w:sz w:val="22"/>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unsafe conditions for water consumption for November and December. In addition, lead levels were within safe limits, while mercury levels in soil exceeded recommended guidelines, raising further concerns about environmental health.</w:t>
      </w:r>
    </w:p>
    <w:p>
      <w:pPr>
        <w:spacing w:before="0" w:after="80" w:line="240" w:lineRule="auto"/>
        <w:jc w:val="left"/>
      </w:pPr>
      <w:r>
        <w:rPr>
          <w:rFonts w:ascii="Georgia" w:hAnsi="Georgia" w:eastAsia="Georgia"/>
          <w:b/>
          <w:i w:val="0"/>
          <w:sz w:val="24"/>
        </w:rPr>
        <w:t>B4  ·  231 words  ·  3 hedges  ·  1.3 per 100 words</w:t>
      </w:r>
    </w:p>
    <w:p>
      <w:pPr>
        <w:spacing w:line="240" w:lineRule="auto" w:before="0" w:after="80"/>
        <w:jc w:val="both"/>
      </w:pPr>
      <w:r>
        <w:rPr>
          <w:rFonts w:ascii="Georgia" w:hAnsi="Georgia" w:eastAsia="Georgia"/>
          <w:b w:val="0"/>
          <w:i w:val="0"/>
          <w:color w:val="000000"/>
          <w:sz w:val="22"/>
        </w:rPr>
        <w:t xml:space="preserve">This study evaluated the acute toxicity and antitussive activity of Mimosa pudica (Makahiya) ethanolic extract in ICR mice to assess its safety and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Mimosa pudica has promising antitussive properties and a wide safety margin, supporting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accessible herbal alternative for managing cough. The presence of bioactive compounds such as flavonoids and saponins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its therapeutic effects. Further studies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confirm its long-term safety, refine dosing, and better understand its mechanisms of action.</w:t>
      </w:r>
    </w:p>
    <w:p>
      <w:pPr>
        <w:spacing w:before="0" w:after="80" w:line="240" w:lineRule="auto"/>
        <w:jc w:val="left"/>
      </w:pPr>
      <w:r>
        <w:rPr>
          <w:rFonts w:ascii="Georgia" w:hAnsi="Georgia" w:eastAsia="Georgia"/>
          <w:b/>
          <w:i w:val="0"/>
          <w:sz w:val="24"/>
        </w:rPr>
        <w:t>B5  ·  245 words  ·  1 hedges  ·  0.41 per 100 words</w:t>
      </w:r>
    </w:p>
    <w:p>
      <w:pPr>
        <w:spacing w:line="240" w:lineRule="auto" w:before="0" w:after="80"/>
        <w:jc w:val="both"/>
      </w:pPr>
      <w:r>
        <w:rPr>
          <w:rFonts w:ascii="Georgia" w:hAnsi="Georgia" w:eastAsia="Georgia"/>
          <w:b w:val="0"/>
          <w:i w:val="0"/>
          <w:color w:val="000000"/>
          <w:sz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antioxidant and antibacterial sources.</w:t>
      </w:r>
    </w:p>
    <w:p>
      <w:pPr>
        <w:spacing w:before="0" w:after="80" w:line="240" w:lineRule="auto"/>
        <w:jc w:val="left"/>
      </w:pPr>
      <w:r>
        <w:rPr>
          <w:rFonts w:ascii="Georgia" w:hAnsi="Georgia" w:eastAsia="Georgia"/>
          <w:b/>
          <w:i w:val="0"/>
          <w:sz w:val="24"/>
        </w:rPr>
        <w:t>B6  ·  232 words  ·  0 hedges  ·  0.0 per 100 words</w:t>
      </w:r>
    </w:p>
    <w:p>
      <w:pPr>
        <w:spacing w:line="240" w:lineRule="auto" w:before="0" w:after="80"/>
        <w:jc w:val="both"/>
      </w:pPr>
      <w:r>
        <w:rPr>
          <w:rFonts w:ascii="Georgia" w:hAnsi="Georgia" w:eastAsia="Georgia"/>
          <w:b w:val="0"/>
          <w:i w:val="0"/>
          <w:color w:val="000000"/>
          <w:sz w:val="22"/>
        </w:rPr>
        <w:t xml:space="preserve">The study </w:t>
      </w:r>
      <w:r>
        <w:rPr>
          <w:rFonts w:ascii="Georgia" w:hAnsi="Georgia"/>
          <w:b/>
          <w:strike/>
          <w:color w:val="000000"/>
          <w:sz w:val="22"/>
        </w:rPr>
        <w:t>would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hAnsi="Georgia" w:eastAsia="Georgia"/>
          <w:b/>
          <w:strike w:val="0"/>
          <w:color w:val="000000"/>
          <w:sz w:val="22"/>
          <w:shd w:val="clear" w:color="auto" w:fill="BFBFBF"/>
        </w:rPr>
        <w:t>revealed that the eco-bricks from all treatments were significantly damaged at the height of one meter, making them a weak, unsuitable material to use in building walkways</w:t>
      </w:r>
      <w:r>
        <w:rPr>
          <w:rFonts w:ascii="Georgia" w:hAnsi="Georgia" w:eastAsia="Georgia"/>
          <w:b/>
          <w:i w:val="0"/>
          <w:color w:val="000000"/>
          <w:sz w:val="20"/>
        </w:rPr>
        <w:t xml:space="preserve"> [R]</w:t>
      </w:r>
      <w:r>
        <w:rPr>
          <w:rFonts w:ascii="Georgia" w:hAnsi="Georgia" w:eastAsia="Georgia"/>
          <w:b w:val="0"/>
          <w:i w:val="0"/>
          <w:color w:val="000000"/>
          <w:sz w:val="22"/>
        </w:rPr>
        <w:t xml:space="preserve">. This study is essential for getting insights into eco-brick manufacture because the workability of SUPs and UCOs as raw materials is proven. </w:t>
      </w:r>
      <w:r>
        <w:rPr>
          <w:rFonts w:ascii="Georgia" w:hAnsi="Georgia" w:eastAsia="Georgia"/>
          <w:b/>
          <w:strike w:val="0"/>
          <w:color w:val="000000"/>
          <w:sz w:val="22"/>
          <w:shd w:val="clear" w:color="auto" w:fill="BFBFBF"/>
        </w:rPr>
        <w:t>The research findings do not apply to buildings</w:t>
      </w:r>
      <w:r>
        <w:rPr>
          <w:rFonts w:ascii="Georgia" w:hAnsi="Georgia" w:eastAsia="Georgia"/>
          <w:b/>
          <w:i w:val="0"/>
          <w:color w:val="000000"/>
          <w:sz w:val="20"/>
        </w:rPr>
        <w:t xml:space="preserve"> [G]</w:t>
      </w:r>
      <w:r>
        <w:rPr>
          <w:rFonts w:ascii="Georgia" w:hAnsi="Georgia" w:eastAsia="Georgia"/>
          <w:b w:val="0"/>
          <w:i w:val="0"/>
          <w:color w:val="000000"/>
          <w:sz w:val="22"/>
        </w:rPr>
        <w:t xml:space="preserve">. Therefore, further research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aid in underlining the importance of optimizing the ingredient ratios to acquire desirable quality eco-bricks for sustainable construction applications.</w:t>
      </w:r>
    </w:p>
    <w:p>
      <w:pPr>
        <w:spacing w:before="0" w:after="80" w:line="240" w:lineRule="auto"/>
        <w:jc w:val="left"/>
      </w:pPr>
      <w:r>
        <w:rPr>
          <w:rFonts w:ascii="Georgia" w:hAnsi="Georgia" w:eastAsia="Georgia"/>
          <w:b/>
          <w:i w:val="0"/>
          <w:sz w:val="24"/>
        </w:rPr>
        <w:t>B7  ·  266 words  ·  3 hedges  ·  1.13 per 100 words</w:t>
      </w:r>
    </w:p>
    <w:p>
      <w:pPr>
        <w:spacing w:line="240" w:lineRule="auto" w:before="0" w:after="80"/>
        <w:jc w:val="both"/>
      </w:pPr>
      <w:r>
        <w:rPr>
          <w:rFonts w:ascii="Georgia" w:hAnsi="Georgia" w:eastAsia="Georgia"/>
          <w:b w:val="0"/>
          <w:i w:val="0"/>
          <w:color w:val="000000"/>
          <w:sz w:val="22"/>
        </w:rPr>
        <w:t xml:space="preserve">The study </w:t>
      </w:r>
      <w:r>
        <w:rPr>
          <w:rFonts w:ascii="Georgia" w:hAnsi="Georgia"/>
          <w:b/>
          <w:strike/>
          <w:color w:val="000000"/>
          <w:sz w:val="22"/>
        </w:rPr>
        <w:t>generally</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eastAsia="Georgia"/>
          <w:b/>
          <w:strike w:val="0"/>
          <w:color w:val="FFFFFF"/>
          <w:sz w:val="22"/>
          <w:shd w:val="clear" w:color="auto" w:fill="FF0000"/>
        </w:rPr>
        <w:t>inferring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such observation was induced by the Z. talanai-infused nanozeolite pellet suspension. Hence, the biosynthesis of Z. talanai-infused nanozeolite pellets is feasible and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affect the overall development of D. rerio embryos.</w:t>
      </w:r>
    </w:p>
    <w:p>
      <w:pPr>
        <w:spacing w:before="0" w:after="80" w:line="240" w:lineRule="auto"/>
        <w:jc w:val="left"/>
      </w:pPr>
      <w:r>
        <w:rPr>
          <w:rFonts w:ascii="Georgia" w:hAnsi="Georgia" w:eastAsia="Georgia"/>
          <w:b/>
          <w:i w:val="0"/>
          <w:sz w:val="24"/>
        </w:rPr>
        <w:t>B8  ·  241 words  ·  2 hedges  ·  0.83 per 100 words</w:t>
      </w:r>
    </w:p>
    <w:p>
      <w:pPr>
        <w:spacing w:line="240" w:lineRule="auto" w:before="0" w:after="80"/>
        <w:jc w:val="both"/>
      </w:pPr>
      <w:r>
        <w:rPr>
          <w:rFonts w:ascii="Georgia" w:hAnsi="Georgia" w:eastAsia="Georgia"/>
          <w:b w:val="0"/>
          <w:i w:val="0"/>
          <w:color w:val="000000"/>
          <w:sz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to control bacterial infections caused by multi-drug resistant pathogens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considered.</w:t>
      </w:r>
    </w:p>
    <w:p>
      <w:pPr>
        <w:spacing w:before="0" w:after="80" w:line="240" w:lineRule="auto"/>
        <w:jc w:val="left"/>
      </w:pPr>
      <w:r>
        <w:rPr>
          <w:rFonts w:ascii="Georgia" w:hAnsi="Georgia" w:eastAsia="Georgia"/>
          <w:b/>
          <w:i w:val="0"/>
          <w:sz w:val="24"/>
        </w:rPr>
        <w:t>B9  ·  212 words  ·  0 hedges  ·  0.0 per 100 words</w:t>
      </w:r>
    </w:p>
    <w:p>
      <w:pPr>
        <w:spacing w:line="240" w:lineRule="auto" w:before="0" w:after="80"/>
        <w:jc w:val="both"/>
      </w:pPr>
      <w:r>
        <w:rPr>
          <w:rFonts w:ascii="Georgia" w:hAnsi="Georgia" w:eastAsia="Georgia"/>
          <w:b w:val="0"/>
          <w:i w:val="0"/>
          <w:color w:val="000000"/>
          <w:sz w:val="22"/>
        </w:rPr>
        <w:t xml:space="preserve">This study aimed to identify the histoprotective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eastAsia="Georgia"/>
          <w:b/>
          <w:strike w:val="0"/>
          <w:color w:val="000000"/>
          <w:sz w:val="22"/>
          <w:shd w:val="clear" w:color="auto" w:fill="BFBFBF"/>
        </w:rPr>
        <w:t>All mice treated with pure leaf extract of Z. talanai, monosodium glutamate, distilled water and L-Taurine showed a significant effect (lesions / aberrations) to the cytoarchitecture of liver and kidney</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hAnsi="Georgia" w:eastAsia="Georgia"/>
          <w:b/>
          <w:strike w:val="0"/>
          <w:color w:val="000000"/>
          <w:sz w:val="22"/>
          <w:shd w:val="clear" w:color="auto" w:fill="BFBFBF"/>
        </w:rPr>
        <w:t>pure MSG and pure ethanolic leaf extract of Z. talanai caused the lesions / aberrations to the liver and kidney</w:t>
      </w:r>
      <w:r>
        <w:rPr>
          <w:rFonts w:ascii="Georgia" w:hAnsi="Georgia" w:eastAsia="Georgia"/>
          <w:b/>
          <w:i w:val="0"/>
          <w:color w:val="000000"/>
          <w:sz w:val="20"/>
        </w:rPr>
        <w:t xml:space="preserve"> [C]</w:t>
      </w:r>
      <w:r>
        <w:rPr>
          <w:rFonts w:ascii="Georgia" w:hAnsi="Georgia" w:eastAsia="Georgia"/>
          <w:b w:val="0"/>
          <w:i w:val="0"/>
          <w:color w:val="000000"/>
          <w:sz w:val="22"/>
        </w:rPr>
        <w:t>.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pPr>
        <w:spacing w:before="0" w:after="80" w:line="240" w:lineRule="auto"/>
        <w:jc w:val="left"/>
      </w:pPr>
      <w:r>
        <w:rPr>
          <w:rFonts w:ascii="Georgia" w:hAnsi="Georgia" w:eastAsia="Georgia"/>
          <w:b/>
          <w:i w:val="0"/>
          <w:sz w:val="24"/>
        </w:rPr>
        <w:t>B10  ·  302 words  ·  1 hedges  ·  0.33 per 100 words</w:t>
      </w:r>
    </w:p>
    <w:p>
      <w:pPr>
        <w:spacing w:line="240" w:lineRule="auto" w:before="0" w:after="80"/>
        <w:jc w:val="both"/>
      </w:pPr>
      <w:r>
        <w:rPr>
          <w:rFonts w:ascii="Georgia" w:hAnsi="Georgia" w:eastAsia="Georgia"/>
          <w:b w:val="0"/>
          <w:i w:val="0"/>
          <w:color w:val="000000"/>
          <w:sz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established to avoid the high danger of heavy metal contamination. Certain local habits, such as waste dumping and other communal activities,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the spread of heavy metals. As a result, some community or local government-adopted measures are </w:t>
      </w:r>
      <w:r>
        <w:rPr>
          <w:rFonts w:ascii="Georgia" w:hAnsi="Georgia"/>
          <w:b/>
          <w:strike/>
          <w:color w:val="000000"/>
          <w:sz w:val="22"/>
        </w:rPr>
        <w:t>proposed</w:t>
      </w:r>
      <w:r>
        <w:rPr>
          <w:rFonts w:ascii="Georgia" w:hAnsi="Georgia" w:eastAsia="Georgia"/>
          <w:b w:val="0"/>
          <w:i w:val="0"/>
          <w:color w:val="808080"/>
          <w:sz w:val="20"/>
        </w:rPr>
        <w:t xml:space="preserve"> (FP-Gen)</w:t>
      </w:r>
      <w:r>
        <w:rPr>
          <w:rFonts w:ascii="Georgia" w:hAnsi="Georgia" w:eastAsia="Georgia"/>
          <w:b w:val="0"/>
          <w:i w:val="0"/>
          <w:color w:val="000000"/>
          <w:sz w:val="22"/>
        </w:rPr>
        <w:t>. These precautions are intended to prevent heavy metal contamination, particularly in the river system and the aquatic life in the area.</w:t>
      </w:r>
    </w:p>
    <w:p>
      <w:pPr>
        <w:spacing w:before="0" w:after="80" w:line="240" w:lineRule="auto"/>
        <w:jc w:val="left"/>
      </w:pPr>
      <w:r>
        <w:rPr>
          <w:rFonts w:ascii="Georgia" w:hAnsi="Georgia" w:eastAsia="Georgia"/>
          <w:b/>
          <w:i w:val="0"/>
          <w:sz w:val="24"/>
        </w:rPr>
        <w:t>B11  ·  256 words  ·  0 hedges  ·  0.0 per 100 words</w:t>
      </w:r>
    </w:p>
    <w:p>
      <w:pPr>
        <w:spacing w:line="240" w:lineRule="auto" w:before="0" w:after="80"/>
        <w:jc w:val="both"/>
      </w:pPr>
      <w:r>
        <w:rPr>
          <w:rFonts w:ascii="Georgia" w:hAnsi="Georgia" w:eastAsia="Georgia"/>
          <w:b w:val="0"/>
          <w:i w:val="0"/>
          <w:color w:val="000000"/>
          <w:sz w:val="22"/>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hAnsi="Georgia" w:eastAsia="Georgia"/>
          <w:b/>
          <w:strike w:val="0"/>
          <w:color w:val="000000"/>
          <w:sz w:val="22"/>
          <w:shd w:val="clear" w:color="auto" w:fill="BFBFBF"/>
        </w:rPr>
        <w:t>revealed the presence of acid-fast bacteria in the tissues of infected milkfish, confirming the occurrence of mycobacteriosis infection</w:t>
      </w:r>
      <w:r>
        <w:rPr>
          <w:rFonts w:ascii="Georgia" w:hAnsi="Georgia" w:eastAsia="Georgia"/>
          <w:b/>
          <w:i w:val="0"/>
          <w:color w:val="000000"/>
          <w:sz w:val="20"/>
        </w:rPr>
        <w:t xml:space="preserve"> [R]</w:t>
      </w:r>
      <w:r>
        <w:rPr>
          <w:rFonts w:ascii="Georgia" w:hAnsi="Georgia" w:eastAsia="Georgia"/>
          <w:b w:val="0"/>
          <w:i w:val="0"/>
          <w:color w:val="000000"/>
          <w:sz w:val="22"/>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hAnsi="Georgia" w:eastAsia="Georgia"/>
          <w:b/>
          <w:strike w:val="0"/>
          <w:color w:val="000000"/>
          <w:sz w:val="22"/>
          <w:shd w:val="clear" w:color="auto" w:fill="BFBFBF"/>
        </w:rPr>
        <w:t>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hAnsi="Georgia" w:eastAsia="Georgia"/>
          <w:b/>
          <w:i w:val="0"/>
          <w:color w:val="000000"/>
          <w:sz w:val="20"/>
        </w:rPr>
        <w:t xml:space="preserve"> [G]</w:t>
      </w:r>
      <w:r>
        <w:rPr>
          <w:rFonts w:ascii="Georgia" w:hAnsi="Georgia" w:eastAsia="Georgia"/>
          <w:b w:val="0"/>
          <w:i w:val="0"/>
          <w:color w:val="000000"/>
          <w:sz w:val="22"/>
        </w:rPr>
        <w:t xml:space="preserve">, offering insights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guide effective management strategies to control the spread of this disease in aquaculture system.</w:t>
      </w:r>
    </w:p>
    <w:p>
      <w:pPr>
        <w:spacing w:before="0" w:after="80" w:line="240" w:lineRule="auto"/>
        <w:jc w:val="left"/>
      </w:pPr>
      <w:r>
        <w:rPr>
          <w:rFonts w:ascii="Georgia" w:hAnsi="Georgia" w:eastAsia="Georgia"/>
          <w:b/>
          <w:i w:val="0"/>
          <w:sz w:val="24"/>
        </w:rPr>
        <w:t>B12  ·  149 words  ·  0 hedges  ·  0.0 per 100 words</w:t>
      </w:r>
    </w:p>
    <w:p>
      <w:pPr>
        <w:spacing w:line="240" w:lineRule="auto" w:before="0" w:after="80"/>
        <w:jc w:val="both"/>
      </w:pPr>
      <w:r>
        <w:rPr>
          <w:rFonts w:ascii="Georgia" w:hAnsi="Georgia" w:eastAsia="Georgia"/>
          <w:b w:val="0"/>
          <w:i w:val="0"/>
          <w:color w:val="000000"/>
          <w:sz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eastAsia="Georgia"/>
          <w:b/>
          <w:strike w:val="0"/>
          <w:color w:val="000000"/>
          <w:sz w:val="22"/>
          <w:shd w:val="clear" w:color="auto" w:fill="BFBFBF"/>
        </w:rPr>
        <w:t>Nine out of ten isolates exhibit quorum quenching activities by inhibiting the swarming motility of Pseudomonas aeruginosa</w:t>
      </w:r>
      <w:r>
        <w:rPr>
          <w:rFonts w:ascii="Georgia" w:hAnsi="Georgia" w:eastAsia="Georgia"/>
          <w:b/>
          <w:i w:val="0"/>
          <w:color w:val="000000"/>
          <w:sz w:val="20"/>
        </w:rPr>
        <w:t xml:space="preserve"> [R]</w:t>
      </w:r>
      <w:r>
        <w:rPr>
          <w:rFonts w:ascii="Georgia" w:hAnsi="Georgia" w:eastAsia="Georgia"/>
          <w:b w:val="0"/>
          <w:i w:val="0"/>
          <w:color w:val="000000"/>
          <w:sz w:val="22"/>
        </w:rPr>
        <w:t xml:space="preserve">. The metabolic compounds of the isolates were subjected to initial characterization using enzyme and pH neutralization, which revealed that organic acids were responsible for the inhibitory activity. </w:t>
      </w:r>
      <w:r>
        <w:rPr>
          <w:rFonts w:ascii="Georgia" w:hAnsi="Georgia" w:eastAsia="Georgia"/>
          <w:b/>
          <w:strike w:val="0"/>
          <w:color w:val="000000"/>
          <w:sz w:val="22"/>
          <w:shd w:val="clear" w:color="auto" w:fill="BFBFBF"/>
        </w:rPr>
        <w:t>The inhibition activity of LAB isolates against the quorum sensing-mediated swarming motility in P. aeruginosa was due to strong antibacterial activity</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0" w:after="80" w:line="240" w:lineRule="auto"/>
        <w:jc w:val="left"/>
      </w:pPr>
      <w:r>
        <w:rPr>
          <w:rFonts w:ascii="Georgia" w:hAnsi="Georgia" w:eastAsia="Georgia"/>
          <w:b/>
          <w:i w:val="0"/>
          <w:sz w:val="24"/>
        </w:rPr>
        <w:t>B13  ·  148 words  ·  0 hedges  ·  0.0 per 100 words</w:t>
      </w:r>
    </w:p>
    <w:p>
      <w:pPr>
        <w:spacing w:line="240" w:lineRule="auto" w:before="0" w:after="80"/>
        <w:jc w:val="both"/>
      </w:pPr>
      <w:r>
        <w:rPr>
          <w:rFonts w:ascii="Georgia" w:hAnsi="Georgia" w:eastAsia="Georgia"/>
          <w:b w:val="0"/>
          <w:i w:val="0"/>
          <w:color w:val="000000"/>
          <w:sz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its antibacterial property is dose dependent.</w:t>
      </w:r>
    </w:p>
    <w:p>
      <w:pPr>
        <w:spacing w:before="0" w:after="80" w:line="240" w:lineRule="auto"/>
        <w:jc w:val="left"/>
      </w:pPr>
      <w:r>
        <w:rPr>
          <w:rFonts w:ascii="Georgia" w:hAnsi="Georgia" w:eastAsia="Georgia"/>
          <w:b/>
          <w:i w:val="0"/>
          <w:sz w:val="24"/>
        </w:rPr>
        <w:t>B14  ·  242 words  ·  3 hedges  ·  1.24 per 100 words</w:t>
      </w:r>
    </w:p>
    <w:p>
      <w:pPr>
        <w:spacing w:line="240" w:lineRule="auto" w:before="0" w:after="80"/>
        <w:jc w:val="both"/>
      </w:pPr>
      <w:r>
        <w:rPr>
          <w:rFonts w:ascii="Georgia" w:hAnsi="Georgia" w:eastAsia="Georgia"/>
          <w:b w:val="0"/>
          <w:i w:val="0"/>
          <w:color w:val="000000"/>
          <w:sz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extraction efficiency favors the highly polar solvents than the non-polar solvents in determining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E. indica against Colletotrichum spp.. The findings of this study attested that this specific type of grass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be used as biofungicide agent.</w:t>
      </w:r>
    </w:p>
    <w:p>
      <w:pPr>
        <w:spacing w:before="0" w:after="80" w:line="240" w:lineRule="auto"/>
        <w:jc w:val="left"/>
      </w:pPr>
      <w:r>
        <w:rPr>
          <w:rFonts w:ascii="Georgia" w:hAnsi="Georgia" w:eastAsia="Georgia"/>
          <w:b/>
          <w:i w:val="0"/>
          <w:sz w:val="24"/>
        </w:rPr>
        <w:t>B15  ·  131 words  ·  0 hedges  ·  0.0 per 100 words</w:t>
      </w:r>
    </w:p>
    <w:p>
      <w:pPr>
        <w:spacing w:line="240" w:lineRule="auto" w:before="0" w:after="80"/>
        <w:jc w:val="both"/>
      </w:pPr>
      <w:r>
        <w:rPr>
          <w:rFonts w:ascii="Georgia" w:hAnsi="Georgia" w:eastAsia="Georgia"/>
          <w:b w:val="0"/>
          <w:i w:val="0"/>
          <w:color w:val="000000"/>
          <w:sz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variations in thermal stability among the different plate materials.</w:t>
      </w:r>
    </w:p>
    <w:p>
      <w:pPr>
        <w:spacing w:before="0" w:after="80" w:line="240" w:lineRule="auto"/>
        <w:jc w:val="left"/>
      </w:pPr>
      <w:r>
        <w:rPr>
          <w:rFonts w:ascii="Georgia" w:hAnsi="Georgia" w:eastAsia="Georgia"/>
          <w:b/>
          <w:i w:val="0"/>
          <w:sz w:val="24"/>
        </w:rPr>
        <w:t>B16  ·  223 words  ·  4 hedges  ·  1.79 per 100 words</w:t>
      </w:r>
    </w:p>
    <w:p>
      <w:pPr>
        <w:spacing w:line="240" w:lineRule="auto" w:before="0" w:after="80"/>
        <w:jc w:val="both"/>
      </w:pPr>
      <w:r>
        <w:rPr>
          <w:rFonts w:ascii="Georgia" w:hAnsi="Georgia" w:eastAsia="Georgia"/>
          <w:b w:val="0"/>
          <w:i w:val="0"/>
          <w:color w:val="000000"/>
          <w:sz w:val="22"/>
        </w:rPr>
        <w:t xml:space="preserve">Methicillin-resistant Staphylococcus aureus (MRSA) is a common and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severe pathogen that has developed resistance to several types of antibiotics. MRSA bacteria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long on surfaces and objects, including second-hand clothing (SHC). The increasing popularity of SHC or “ukay-ukay” in the Philippines, coupled with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public health risks associated with the handling and purchasing of second-hand clothing. This study, therefore, underscores the need for proper precautions to mitigate the spread of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harmful bacteria, including MRSA, on second-hand clothing. It highlights the importance of raising awareness among both vendors and consumers about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health risks associated with these garments.</w:t>
      </w:r>
    </w:p>
    <w:p>
      <w:pPr>
        <w:spacing w:before="0" w:after="80" w:line="240" w:lineRule="auto"/>
        <w:jc w:val="left"/>
      </w:pPr>
      <w:r>
        <w:rPr>
          <w:rFonts w:ascii="Georgia" w:hAnsi="Georgia" w:eastAsia="Georgia"/>
          <w:b/>
          <w:i w:val="0"/>
          <w:sz w:val="24"/>
        </w:rPr>
        <w:t>B17  ·  243 words  ·  2 hedges  ·  0.82 per 100 words</w:t>
      </w:r>
    </w:p>
    <w:p>
      <w:pPr>
        <w:spacing w:line="240" w:lineRule="auto" w:before="0" w:after="80"/>
        <w:jc w:val="both"/>
      </w:pPr>
      <w:r>
        <w:rPr>
          <w:rFonts w:ascii="Georgia" w:hAnsi="Georgia" w:eastAsia="Georgia"/>
          <w:b w:val="0"/>
          <w:i w:val="0"/>
          <w:color w:val="000000"/>
          <w:sz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by the reduction of DPPH radicals. The TLC-MTT overlay assay showed that the extract exhibits antibacterial activity against S. aureus but was ineffective against E. coli,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selective antibacterial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The findings indicate that P. propinquum fruit ethanolic extract contains bioactive compounds with antioxidant and selective antibacterial properties. Further studies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focus on the isolation and characterization of its active compounds, their mechanisms of action, and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pharmaceutical applications.</w:t>
      </w:r>
    </w:p>
    <w:p>
      <w:pPr>
        <w:spacing w:before="0" w:after="80" w:line="240" w:lineRule="auto"/>
        <w:jc w:val="left"/>
      </w:pPr>
      <w:r>
        <w:rPr>
          <w:rFonts w:ascii="Georgia" w:hAnsi="Georgia" w:eastAsia="Georgia"/>
          <w:b/>
          <w:i w:val="0"/>
          <w:sz w:val="24"/>
        </w:rPr>
        <w:t>B18  ·  286 words  ·  1 hedges  ·  0.35 per 100 words</w:t>
      </w:r>
    </w:p>
    <w:p>
      <w:pPr>
        <w:spacing w:line="240" w:lineRule="auto" w:before="0" w:after="80"/>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0" w:after="80" w:line="240" w:lineRule="auto"/>
        <w:jc w:val="left"/>
      </w:pPr>
      <w:r>
        <w:rPr>
          <w:rFonts w:ascii="Georgia" w:hAnsi="Georgia" w:eastAsia="Georgia"/>
          <w:b/>
          <w:i w:val="0"/>
          <w:sz w:val="24"/>
        </w:rPr>
        <w:t>B19  ·  290 words  ·  1 hedges  ·  0.34 per 100 words</w:t>
      </w:r>
    </w:p>
    <w:p>
      <w:pPr>
        <w:spacing w:line="240" w:lineRule="auto" w:before="0" w:after="80"/>
        <w:jc w:val="both"/>
      </w:pPr>
      <w:r>
        <w:rPr>
          <w:rFonts w:ascii="Georgia" w:hAnsi="Georgia" w:eastAsia="Georgia"/>
          <w:b w:val="0"/>
          <w:i w:val="0"/>
          <w:color w:val="000000"/>
          <w:sz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address the </w:t>
      </w:r>
      <w:r>
        <w:rPr>
          <w:rFonts w:ascii="Georgia" w:hAnsi="Georgia" w:eastAsia="Georgia"/>
          <w:b/>
          <w:strike w:val="0"/>
          <w:color w:val="FFFFFF"/>
          <w:sz w:val="22"/>
          <w:shd w:val="clear" w:color="auto" w:fill="FF0000"/>
        </w:rPr>
        <w:t>possible</w:t>
      </w:r>
      <w:r>
        <w:rPr>
          <w:rFonts w:ascii="Georgia" w:hAnsi="Georgia" w:eastAsia="Georgia"/>
          <w:b/>
          <w:i w:val="0"/>
          <w:color w:val="ED7D31"/>
          <w:sz w:val="20"/>
        </w:rPr>
        <w:t xml:space="preserve"> (EC)</w:t>
      </w:r>
      <w:r>
        <w:rPr>
          <w:rFonts w:ascii="Georgia" w:hAnsi="Georgia" w:eastAsia="Georgia"/>
          <w:b w:val="0"/>
          <w:i w:val="0"/>
          <w:color w:val="000000"/>
          <w:sz w:val="22"/>
        </w:rPr>
        <w:t xml:space="preserve"> negative impacts of tourism activities and manage the carrying capacity for sustainable tourism.</w:t>
      </w:r>
    </w:p>
    <w:p>
      <w:pPr>
        <w:spacing w:before="0" w:after="80" w:line="240" w:lineRule="auto"/>
        <w:jc w:val="left"/>
      </w:pPr>
      <w:r>
        <w:rPr>
          <w:rFonts w:ascii="Georgia" w:hAnsi="Georgia" w:eastAsia="Georgia"/>
          <w:b/>
          <w:i w:val="0"/>
          <w:sz w:val="24"/>
        </w:rPr>
        <w:t>B20  ·  223 words  ·  1 hedges  ·  0.45 per 100 words</w:t>
      </w:r>
    </w:p>
    <w:p>
      <w:pPr>
        <w:spacing w:line="240" w:lineRule="auto" w:before="0" w:after="80"/>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0" w:after="80" w:line="240" w:lineRule="auto"/>
        <w:jc w:val="center"/>
      </w:pPr>
      <w:r>
        <w:rPr>
          <w:rFonts w:ascii="Georgia" w:hAnsi="Georgia" w:eastAsia="Georgia"/>
          <w:b/>
          <w:i w:val="0"/>
          <w:sz w:val="24"/>
        </w:rPr>
        <w:t>Veterinary Medicine (VM1–VM20)</w:t>
      </w:r>
    </w:p>
    <w:p>
      <w:pPr>
        <w:spacing w:before="0" w:after="80" w:line="240" w:lineRule="auto"/>
        <w:jc w:val="left"/>
      </w:pPr>
      <w:r>
        <w:rPr>
          <w:rFonts w:ascii="Georgia" w:hAnsi="Georgia" w:eastAsia="Georgia"/>
          <w:b/>
          <w:i w:val="0"/>
          <w:sz w:val="24"/>
        </w:rPr>
        <w:t>VM1  ·  211 words  ·  0 hedges  ·  0.0 per 100 words</w:t>
      </w:r>
    </w:p>
    <w:p>
      <w:pPr>
        <w:spacing w:line="240" w:lineRule="auto" w:before="0" w:after="80"/>
        <w:jc w:val="both"/>
      </w:pPr>
      <w:r>
        <w:rPr>
          <w:rFonts w:ascii="Georgia" w:hAnsi="Georgia" w:eastAsia="Georgia"/>
          <w:b w:val="0"/>
          <w:i w:val="0"/>
          <w:color w:val="000000"/>
          <w:sz w:val="22"/>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eastAsia="Georgia"/>
          <w:b/>
          <w:strike w:val="0"/>
          <w:color w:val="000000"/>
          <w:sz w:val="22"/>
          <w:shd w:val="clear" w:color="auto" w:fill="BFBFBF"/>
        </w:rPr>
        <w:t>T1 revealed that Zoletil® alone is not enough to fully induce Stage 3 anesthesia in zebrafish</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when sodium bicarbonate was added, Stage 3 was achieved, while using only a small amount of Zoletil®</w:t>
      </w:r>
      <w:r>
        <w:rPr>
          <w:rFonts w:ascii="Georgia" w:hAnsi="Georgia" w:eastAsia="Georgia"/>
          <w:b/>
          <w:i w:val="0"/>
          <w:color w:val="000000"/>
          <w:sz w:val="20"/>
        </w:rPr>
        <w:t xml:space="preserve"> [C]</w:t>
      </w:r>
      <w:r>
        <w:rPr>
          <w:rFonts w:ascii="Georgia" w:hAnsi="Georgia" w:eastAsia="Georgia"/>
          <w:b w:val="0"/>
          <w:i w:val="0"/>
          <w:color w:val="000000"/>
          <w:sz w:val="22"/>
        </w:rPr>
        <w:t>. Additionally, it was also revealed that 40 g/L of sodium bicarbonate was sufficient to induce Stage 3 anesthesia in zebrafish.</w:t>
      </w:r>
    </w:p>
    <w:p>
      <w:pPr>
        <w:spacing w:before="0" w:after="80" w:line="240" w:lineRule="auto"/>
        <w:jc w:val="left"/>
      </w:pPr>
      <w:r>
        <w:rPr>
          <w:rFonts w:ascii="Georgia" w:hAnsi="Georgia" w:eastAsia="Georgia"/>
          <w:b/>
          <w:i w:val="0"/>
          <w:sz w:val="24"/>
        </w:rPr>
        <w:t>VM2  ·  358 words  ·  3 hedges  ·  0.84 per 100 words</w:t>
      </w:r>
    </w:p>
    <w:p>
      <w:pPr>
        <w:spacing w:line="240" w:lineRule="auto" w:before="0" w:after="80"/>
        <w:jc w:val="both"/>
      </w:pPr>
      <w:r>
        <w:rPr>
          <w:rFonts w:ascii="Georgia" w:hAnsi="Georgia" w:eastAsia="Georgia"/>
          <w:b w:val="0"/>
          <w:i w:val="0"/>
          <w:color w:val="000000"/>
          <w:sz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engage in responsible and humane behavior toward stray animals. The results obtained served as baseline information for future endeavors in promoting responsible pet ownership for the welfare of companion animals and the community.</w:t>
      </w:r>
    </w:p>
    <w:p>
      <w:pPr>
        <w:spacing w:before="0" w:after="80" w:line="240" w:lineRule="auto"/>
        <w:jc w:val="left"/>
      </w:pPr>
      <w:r>
        <w:rPr>
          <w:rFonts w:ascii="Georgia" w:hAnsi="Georgia" w:eastAsia="Georgia"/>
          <w:b/>
          <w:i w:val="0"/>
          <w:sz w:val="24"/>
        </w:rPr>
        <w:t>VM3  ·  296 words  ·  0 hedges  ·  0.0 per 100 words</w:t>
      </w:r>
    </w:p>
    <w:p>
      <w:pPr>
        <w:spacing w:line="240" w:lineRule="auto" w:before="0" w:after="80"/>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p>
      <w:pPr>
        <w:spacing w:before="0" w:after="80" w:line="240" w:lineRule="auto"/>
        <w:jc w:val="left"/>
      </w:pPr>
      <w:r>
        <w:rPr>
          <w:rFonts w:ascii="Georgia" w:hAnsi="Georgia" w:eastAsia="Georgia"/>
          <w:b/>
          <w:i w:val="0"/>
          <w:sz w:val="24"/>
        </w:rPr>
        <w:t>VM4  ·  250 words  ·  0 hedges  ·  0.0 per 100 words</w:t>
      </w:r>
    </w:p>
    <w:p>
      <w:pPr>
        <w:spacing w:line="240" w:lineRule="auto" w:before="0" w:after="80"/>
        <w:jc w:val="both"/>
      </w:pPr>
      <w:r>
        <w:rPr>
          <w:rFonts w:ascii="Georgia" w:hAnsi="Georgia" w:eastAsia="Georgia"/>
          <w:b w:val="0"/>
          <w:i w:val="0"/>
          <w:color w:val="000000"/>
          <w:sz w:val="22"/>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hAnsi="Georgia" w:eastAsia="Georgia"/>
          <w:b/>
          <w:strike w:val="0"/>
          <w:color w:val="000000"/>
          <w:sz w:val="22"/>
          <w:shd w:val="clear" w:color="auto" w:fill="BFBFBF"/>
        </w:rPr>
        <w:t>Results indicated that most vendors lacked formal training in milk-handling (100 %) did not use refrigeration, new bottles, or any preservation methods (100%)</w:t>
      </w:r>
      <w:r>
        <w:rPr>
          <w:rFonts w:ascii="Georgia" w:hAnsi="Georgia" w:eastAsia="Georgia"/>
          <w:b/>
          <w:i w:val="0"/>
          <w:color w:val="000000"/>
          <w:sz w:val="20"/>
        </w:rPr>
        <w:t xml:space="preserve"> [R]</w:t>
      </w:r>
      <w:r>
        <w:rPr>
          <w:rFonts w:ascii="Georgia" w:hAnsi="Georgia" w:eastAsia="Georgia"/>
          <w:b w:val="0"/>
          <w:i w:val="0"/>
          <w:color w:val="000000"/>
          <w:sz w:val="22"/>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b/>
          <w:strike/>
          <w:color w:val="000000"/>
          <w:sz w:val="22"/>
        </w:rPr>
        <w:t>suggest</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to improve training, regulation of milk storage, and the enforcement of labeling and sanitation standards to improve public health safety in the milk supply chain.</w:t>
      </w:r>
    </w:p>
    <w:p>
      <w:pPr>
        <w:spacing w:before="0" w:after="80" w:line="240" w:lineRule="auto"/>
        <w:jc w:val="left"/>
      </w:pPr>
      <w:r>
        <w:rPr>
          <w:rFonts w:ascii="Georgia" w:hAnsi="Georgia" w:eastAsia="Georgia"/>
          <w:b/>
          <w:i w:val="0"/>
          <w:sz w:val="24"/>
        </w:rPr>
        <w:t>VM5  ·  256 words  ·  1 hedges  ·  0.39 per 100 words</w:t>
      </w:r>
    </w:p>
    <w:p>
      <w:pPr>
        <w:spacing w:line="240" w:lineRule="auto" w:before="0" w:after="80"/>
        <w:jc w:val="both"/>
      </w:pPr>
      <w:r>
        <w:rPr>
          <w:rFonts w:ascii="Georgia" w:hAnsi="Georgia" w:eastAsia="Georgia"/>
          <w:b w:val="0"/>
          <w:i w:val="0"/>
          <w:color w:val="000000"/>
          <w:sz w:val="22"/>
        </w:rPr>
        <w:t xml:space="preserve">The prevalence of dermatophytosis and emerging drug resistance underscores the need for alternative therapeutic approaches, leading to a focus on medicinal plants. This study explores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M. calabura L. as a source of antifungal agents, warranting further investigation into its therapeutic applications and formulation for dermatophytosis management.</w:t>
      </w:r>
    </w:p>
    <w:p>
      <w:pPr>
        <w:spacing w:before="0" w:after="80" w:line="240" w:lineRule="auto"/>
        <w:jc w:val="left"/>
      </w:pPr>
      <w:r>
        <w:rPr>
          <w:rFonts w:ascii="Georgia" w:hAnsi="Georgia" w:eastAsia="Georgia"/>
          <w:b/>
          <w:i w:val="0"/>
          <w:sz w:val="24"/>
        </w:rPr>
        <w:t>VM6  ·  278 words  ·  0 hedges  ·  0.0 per 100 words</w:t>
      </w:r>
    </w:p>
    <w:p>
      <w:pPr>
        <w:spacing w:line="240" w:lineRule="auto" w:before="0" w:after="80"/>
        <w:jc w:val="both"/>
      </w:pPr>
      <w:r>
        <w:rPr>
          <w:rFonts w:ascii="Georgia" w:hAnsi="Georgia" w:eastAsia="Georgia"/>
          <w:b w:val="0"/>
          <w:i w:val="0"/>
          <w:color w:val="000000"/>
          <w:sz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hAnsi="Georgia" w:eastAsia="Georgia"/>
          <w:b/>
          <w:strike w:val="0"/>
          <w:color w:val="000000"/>
          <w:sz w:val="22"/>
          <w:shd w:val="clear" w:color="auto" w:fill="BFBFBF"/>
        </w:rPr>
        <w:t>mean values for sodium between male and female NZW rabbits were found to be statistically different (p&lt;0.05)</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0" w:after="80" w:line="240" w:lineRule="auto"/>
        <w:jc w:val="left"/>
      </w:pPr>
      <w:r>
        <w:rPr>
          <w:rFonts w:ascii="Georgia" w:hAnsi="Georgia" w:eastAsia="Georgia"/>
          <w:b/>
          <w:i w:val="0"/>
          <w:sz w:val="24"/>
        </w:rPr>
        <w:t>VM7  ·  174 words  ·  1 hedges  ·  0.57 per 100 words</w:t>
      </w:r>
    </w:p>
    <w:p>
      <w:pPr>
        <w:spacing w:line="240" w:lineRule="auto" w:before="0" w:after="80"/>
        <w:jc w:val="both"/>
      </w:pPr>
      <w:r>
        <w:rPr>
          <w:rFonts w:ascii="Georgia" w:hAnsi="Georgia" w:eastAsia="Georgia"/>
          <w:b w:val="0"/>
          <w:i w:val="0"/>
          <w:color w:val="000000"/>
          <w:sz w:val="22"/>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collectively contribute to the effective management and prevention of heartworm disease in the local canine population. Further research with larger sample sizes and diverse populations is </w:t>
      </w:r>
      <w:r>
        <w:rPr>
          <w:rFonts w:ascii="Georgia" w:hAnsi="Georgia"/>
          <w:b/>
          <w:strike/>
          <w:color w:val="000000"/>
          <w:sz w:val="22"/>
        </w:rPr>
        <w:t>needed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validate these findings and enhance our understanding of heartworm infection in the study area.</w:t>
      </w:r>
    </w:p>
    <w:p>
      <w:pPr>
        <w:spacing w:before="0" w:after="80" w:line="240" w:lineRule="auto"/>
        <w:jc w:val="left"/>
      </w:pPr>
      <w:r>
        <w:rPr>
          <w:rFonts w:ascii="Georgia" w:hAnsi="Georgia" w:eastAsia="Georgia"/>
          <w:b/>
          <w:i w:val="0"/>
          <w:sz w:val="24"/>
        </w:rPr>
        <w:t>VM8  ·  253 words  ·  1 hedges  ·  0.4 per 100 words</w:t>
      </w:r>
    </w:p>
    <w:p>
      <w:pPr>
        <w:spacing w:line="240" w:lineRule="auto" w:before="0" w:after="80"/>
        <w:jc w:val="both"/>
      </w:pPr>
      <w:r>
        <w:rPr>
          <w:rFonts w:ascii="Georgia" w:hAnsi="Georgia" w:eastAsia="Georgia"/>
          <w:b w:val="0"/>
          <w:i w:val="0"/>
          <w:color w:val="000000"/>
          <w:sz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both plant extracts as natural anthelmintics, with tamarind showing superior efficacy. The study supports the development of plant-based alternatives for the sustainable control of fasciolosis in livestock.</w:t>
      </w:r>
    </w:p>
    <w:p>
      <w:pPr>
        <w:spacing w:before="0" w:after="80" w:line="240" w:lineRule="auto"/>
        <w:jc w:val="left"/>
      </w:pPr>
      <w:r>
        <w:rPr>
          <w:rFonts w:ascii="Georgia" w:hAnsi="Georgia" w:eastAsia="Georgia"/>
          <w:b/>
          <w:i w:val="0"/>
          <w:sz w:val="24"/>
        </w:rPr>
        <w:t>VM9  ·  430 words  ·  0 hedges  ·  0.0 per 100 words</w:t>
      </w:r>
    </w:p>
    <w:p>
      <w:pPr>
        <w:spacing w:line="240" w:lineRule="auto" w:before="0" w:after="80"/>
        <w:jc w:val="both"/>
      </w:pPr>
      <w:r>
        <w:rPr>
          <w:rFonts w:ascii="Georgia" w:hAnsi="Georgia" w:eastAsia="Georgia"/>
          <w:b w:val="0"/>
          <w:i w:val="0"/>
          <w:color w:val="000000"/>
          <w:sz w:val="22"/>
        </w:rPr>
        <w:t xml:space="preserve">Plastic pollution has been a long-standing environmental concern due to improper waste management. Its persistence in marine environments, particularly in the form of microplastics, posed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eastAsia="Georgia"/>
          <w:b/>
          <w:strike w:val="0"/>
          <w:color w:val="000000"/>
          <w:sz w:val="22"/>
          <w:shd w:val="clear" w:color="auto" w:fill="BFBFBF"/>
        </w:rPr>
        <w:t>A total of 181 microplastics were detected across all samples, wherein the concentration of microplastics was higher in Treatment 1</w:t>
      </w:r>
      <w:r>
        <w:rPr>
          <w:rFonts w:ascii="Georgia" w:hAnsi="Georgia" w:eastAsia="Georgia"/>
          <w:b/>
          <w:i w:val="0"/>
          <w:color w:val="000000"/>
          <w:sz w:val="20"/>
        </w:rPr>
        <w:t xml:space="preserve"> [R]</w:t>
      </w:r>
      <w:r>
        <w:rPr>
          <w:rFonts w:ascii="Georgia" w:hAnsi="Georgia" w:eastAsia="Georgia"/>
          <w:b w:val="0"/>
          <w:i w:val="0"/>
          <w:color w:val="000000"/>
          <w:sz w:val="22"/>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b/>
          <w:strike/>
          <w:color w:val="000000"/>
          <w:sz w:val="22"/>
        </w:rPr>
        <w:t>recommend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pPr>
        <w:spacing w:before="0" w:after="80" w:line="240" w:lineRule="auto"/>
        <w:jc w:val="left"/>
      </w:pPr>
      <w:r>
        <w:rPr>
          <w:rFonts w:ascii="Georgia" w:hAnsi="Georgia" w:eastAsia="Georgia"/>
          <w:b/>
          <w:i w:val="0"/>
          <w:sz w:val="24"/>
        </w:rPr>
        <w:t>VM10  ·  277 words  ·  0 hedges  ·  0.0 per 100 words</w:t>
      </w:r>
    </w:p>
    <w:p>
      <w:pPr>
        <w:spacing w:line="240" w:lineRule="auto" w:before="0" w:after="80"/>
        <w:jc w:val="both"/>
      </w:pPr>
      <w:r>
        <w:rPr>
          <w:rFonts w:ascii="Georgia" w:hAnsi="Georgia" w:eastAsia="Georgia"/>
          <w:b w:val="0"/>
          <w:i w:val="0"/>
          <w:color w:val="000000"/>
          <w:sz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eastAsia="Georgia"/>
          <w:b/>
          <w:strike w:val="0"/>
          <w:color w:val="000000"/>
          <w:sz w:val="22"/>
          <w:shd w:val="clear" w:color="auto" w:fill="BFBFBF"/>
        </w:rPr>
        <w:t>In general, lung samples were sensitive to all antibiotics except amoxicillin-clavulanic acid</w:t>
      </w:r>
      <w:r>
        <w:rPr>
          <w:rFonts w:ascii="Georgia" w:hAnsi="Georgia" w:eastAsia="Georgia"/>
          <w:b/>
          <w:i w:val="0"/>
          <w:color w:val="000000"/>
          <w:sz w:val="20"/>
        </w:rPr>
        <w:t xml:space="preserve"> [G]</w:t>
      </w:r>
      <w:r>
        <w:rPr>
          <w:rFonts w:ascii="Georgia" w:hAnsi="Georgia" w:eastAsia="Georgia"/>
          <w:b w:val="0"/>
          <w:i w:val="0"/>
          <w:color w:val="000000"/>
          <w:sz w:val="22"/>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hAnsi="Georgia" w:eastAsia="Georgia"/>
          <w:b/>
          <w:strike w:val="0"/>
          <w:color w:val="000000"/>
          <w:sz w:val="22"/>
          <w:shd w:val="clear" w:color="auto" w:fill="BFBFBF"/>
        </w:rPr>
        <w:t>the data showed that lung and chick samples exhibited marked resistance</w:t>
      </w:r>
      <w:r>
        <w:rPr>
          <w:rFonts w:ascii="Georgia" w:hAnsi="Georgia" w:eastAsia="Georgia"/>
          <w:b/>
          <w:i w:val="0"/>
          <w:color w:val="000000"/>
          <w:sz w:val="20"/>
        </w:rPr>
        <w:t xml:space="preserve"> [R]</w:t>
      </w:r>
      <w:r>
        <w:rPr>
          <w:rFonts w:ascii="Georgia" w:hAnsi="Georgia" w:eastAsia="Georgia"/>
          <w:b w:val="0"/>
          <w:i w:val="0"/>
          <w:color w:val="000000"/>
          <w:sz w:val="22"/>
        </w:rPr>
        <w:t>.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pPr>
        <w:spacing w:before="0" w:after="80" w:line="240" w:lineRule="auto"/>
        <w:jc w:val="left"/>
      </w:pPr>
      <w:r>
        <w:rPr>
          <w:rFonts w:ascii="Georgia" w:hAnsi="Georgia" w:eastAsia="Georgia"/>
          <w:b/>
          <w:i w:val="0"/>
          <w:sz w:val="24"/>
        </w:rPr>
        <w:t>VM11  ·  236 words  ·  0 hedges  ·  0.0 per 100 words</w:t>
      </w:r>
    </w:p>
    <w:p>
      <w:pPr>
        <w:spacing w:line="240" w:lineRule="auto" w:before="0" w:after="80"/>
        <w:jc w:val="both"/>
      </w:pPr>
      <w:r>
        <w:rPr>
          <w:rFonts w:ascii="Georgia" w:hAnsi="Georgia" w:eastAsia="Georgia"/>
          <w:b w:val="0"/>
          <w:i w:val="0"/>
          <w:color w:val="000000"/>
          <w:sz w:val="22"/>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b/>
          <w:strike/>
          <w:color w:val="000000"/>
          <w:sz w:val="22"/>
        </w:rPr>
        <w:t>possibility</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pPr>
        <w:spacing w:before="0" w:after="80" w:line="240" w:lineRule="auto"/>
        <w:jc w:val="left"/>
      </w:pPr>
      <w:r>
        <w:rPr>
          <w:rFonts w:ascii="Georgia" w:hAnsi="Georgia" w:eastAsia="Georgia"/>
          <w:b/>
          <w:i w:val="0"/>
          <w:sz w:val="24"/>
        </w:rPr>
        <w:t>VM12  ·  182 words  ·  1 hedges  ·  0.55 per 100 words</w:t>
      </w:r>
    </w:p>
    <w:p>
      <w:pPr>
        <w:spacing w:line="240" w:lineRule="auto" w:before="0" w:after="80"/>
        <w:jc w:val="both"/>
      </w:pPr>
      <w:r>
        <w:rPr>
          <w:rFonts w:ascii="Georgia" w:hAnsi="Georgia" w:eastAsia="Georgia"/>
          <w:b w:val="0"/>
          <w:i w:val="0"/>
          <w:color w:val="000000"/>
          <w:sz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be effective in preventing, controlling, and managing the spread of ASF, but it is not conclusive that ASF is not present in the municipality of Magalang. Nevertheless,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pPr>
        <w:spacing w:before="0" w:after="80" w:line="240" w:lineRule="auto"/>
        <w:jc w:val="left"/>
      </w:pPr>
      <w:r>
        <w:rPr>
          <w:rFonts w:ascii="Georgia" w:hAnsi="Georgia" w:eastAsia="Georgia"/>
          <w:b/>
          <w:i w:val="0"/>
          <w:sz w:val="24"/>
        </w:rPr>
        <w:t>VM13  ·  215 words  ·  0 hedges  ·  0.0 per 100 words</w:t>
      </w:r>
    </w:p>
    <w:p>
      <w:pPr>
        <w:spacing w:line="240" w:lineRule="auto" w:before="0" w:after="80"/>
        <w:jc w:val="both"/>
      </w:pPr>
      <w:r>
        <w:rPr>
          <w:rFonts w:ascii="Georgia" w:hAnsi="Georgia" w:eastAsia="Georgia"/>
          <w:b w:val="0"/>
          <w:i w:val="0"/>
          <w:color w:val="000000"/>
          <w:sz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hAnsi="Georgia" w:eastAsia="Georgia"/>
          <w:b/>
          <w:strike w:val="0"/>
          <w:color w:val="000000"/>
          <w:sz w:val="22"/>
          <w:shd w:val="clear" w:color="auto" w:fill="BFBFBF"/>
        </w:rPr>
        <w:t>the differences between the groups were statistically significant</w:t>
      </w:r>
      <w:r>
        <w:rPr>
          <w:rFonts w:ascii="Georgia" w:hAnsi="Georgia" w:eastAsia="Georgia"/>
          <w:b/>
          <w:i w:val="0"/>
          <w:color w:val="000000"/>
          <w:sz w:val="20"/>
        </w:rPr>
        <w:t xml:space="preserve"> [R]</w:t>
      </w:r>
      <w:r>
        <w:rPr>
          <w:rFonts w:ascii="Georgia" w:hAnsi="Georgia" w:eastAsia="Georgia"/>
          <w:b w:val="0"/>
          <w:i w:val="0"/>
          <w:color w:val="000000"/>
          <w:sz w:val="22"/>
        </w:rPr>
        <w:t>. There were variations in the mean antibody titer measured among samples.</w:t>
      </w:r>
    </w:p>
    <w:p>
      <w:pPr>
        <w:spacing w:before="0" w:after="80" w:line="240" w:lineRule="auto"/>
        <w:jc w:val="left"/>
      </w:pPr>
      <w:r>
        <w:rPr>
          <w:rFonts w:ascii="Georgia" w:hAnsi="Georgia" w:eastAsia="Georgia"/>
          <w:b/>
          <w:i w:val="0"/>
          <w:sz w:val="24"/>
        </w:rPr>
        <w:t>VM14  ·  183 words  ·  0 hedges  ·  0.0 per 100 words</w:t>
      </w:r>
    </w:p>
    <w:p>
      <w:pPr>
        <w:spacing w:line="240" w:lineRule="auto" w:before="0" w:after="80"/>
        <w:jc w:val="both"/>
      </w:pPr>
      <w:r>
        <w:rPr>
          <w:rFonts w:ascii="Georgia" w:hAnsi="Georgia" w:eastAsia="Georgia"/>
          <w:b w:val="0"/>
          <w:i w:val="0"/>
          <w:color w:val="000000"/>
          <w:sz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pPr>
        <w:spacing w:before="0" w:after="80" w:line="240" w:lineRule="auto"/>
        <w:jc w:val="left"/>
      </w:pPr>
      <w:r>
        <w:rPr>
          <w:rFonts w:ascii="Georgia" w:hAnsi="Georgia" w:eastAsia="Georgia"/>
          <w:b/>
          <w:i w:val="0"/>
          <w:sz w:val="24"/>
        </w:rPr>
        <w:t>VM15  ·  258 words  ·  1 hedges  ·  0.39 per 100 words</w:t>
      </w:r>
    </w:p>
    <w:p>
      <w:pPr>
        <w:spacing w:line="240" w:lineRule="auto" w:before="0" w:after="80"/>
        <w:jc w:val="both"/>
      </w:pPr>
      <w:r>
        <w:rPr>
          <w:rFonts w:ascii="Georgia" w:hAnsi="Georgia" w:eastAsia="Georgia"/>
          <w:b w:val="0"/>
          <w:i w:val="0"/>
          <w:color w:val="000000"/>
          <w:sz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pPr>
        <w:spacing w:before="0" w:after="80" w:line="240" w:lineRule="auto"/>
        <w:jc w:val="left"/>
      </w:pPr>
      <w:r>
        <w:rPr>
          <w:rFonts w:ascii="Georgia" w:hAnsi="Georgia" w:eastAsia="Georgia"/>
          <w:b/>
          <w:i w:val="0"/>
          <w:sz w:val="24"/>
        </w:rPr>
        <w:t>VM16  ·  261 words  ·  0 hedges  ·  0.0 per 100 words</w:t>
      </w:r>
    </w:p>
    <w:p>
      <w:pPr>
        <w:spacing w:line="240" w:lineRule="auto" w:before="0" w:after="80"/>
        <w:jc w:val="both"/>
      </w:pPr>
      <w:r>
        <w:rPr>
          <w:rFonts w:ascii="Georgia" w:hAnsi="Georgia" w:eastAsia="Georgia"/>
          <w:b w:val="0"/>
          <w:i w:val="0"/>
          <w:color w:val="000000"/>
          <w:sz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hAnsi="Georgia" w:eastAsia="Georgia"/>
          <w:b/>
          <w:strike w:val="0"/>
          <w:color w:val="000000"/>
          <w:sz w:val="22"/>
          <w:shd w:val="clear" w:color="auto" w:fill="BFBFBF"/>
        </w:rPr>
        <w:t>Results revealed that Treatment 3, with 40% concentration of Noni had the highest zone of inhibition in vitro with comparable antibacterial activity as the positive control against S. aureus</w:t>
      </w:r>
      <w:r>
        <w:rPr>
          <w:rFonts w:ascii="Georgia" w:hAnsi="Georgia" w:eastAsia="Georgia"/>
          <w:b/>
          <w:i w:val="0"/>
          <w:color w:val="000000"/>
          <w:sz w:val="20"/>
        </w:rPr>
        <w:t xml:space="preserve"> [R]</w:t>
      </w:r>
      <w:r>
        <w:rPr>
          <w:rFonts w:ascii="Georgia" w:hAnsi="Georgia" w:eastAsia="Georgia"/>
          <w:b w:val="0"/>
          <w:i w:val="0"/>
          <w:color w:val="000000"/>
          <w:sz w:val="22"/>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hAnsi="Georgia" w:eastAsia="Georgia"/>
          <w:b/>
          <w:strike w:val="0"/>
          <w:color w:val="000000"/>
          <w:sz w:val="22"/>
          <w:shd w:val="clear" w:color="auto" w:fill="BFBFBF"/>
        </w:rPr>
        <w:t>Noni fruit ethanolic extract with 40% concentration has antibacterial property</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0" w:after="80" w:line="240" w:lineRule="auto"/>
        <w:jc w:val="left"/>
      </w:pPr>
      <w:r>
        <w:rPr>
          <w:rFonts w:ascii="Georgia" w:hAnsi="Georgia" w:eastAsia="Georgia"/>
          <w:b/>
          <w:i w:val="0"/>
          <w:sz w:val="24"/>
        </w:rPr>
        <w:t>VM17  ·  232 words  ·  1 hedges  ·  0.43 per 100 words</w:t>
      </w:r>
    </w:p>
    <w:p>
      <w:pPr>
        <w:spacing w:line="240" w:lineRule="auto" w:before="0" w:after="80"/>
        <w:jc w:val="both"/>
      </w:pPr>
      <w:r>
        <w:rPr>
          <w:rFonts w:ascii="Georgia" w:hAnsi="Georgia" w:eastAsia="Georgia"/>
          <w:b w:val="0"/>
          <w:i w:val="0"/>
          <w:color w:val="000000"/>
          <w:sz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butterfly pea flower aqueous extract in improving the survival of zebrafish at its larval stage.</w:t>
      </w:r>
    </w:p>
    <w:p>
      <w:pPr>
        <w:spacing w:before="0" w:after="80" w:line="240" w:lineRule="auto"/>
        <w:jc w:val="left"/>
      </w:pPr>
      <w:r>
        <w:rPr>
          <w:rFonts w:ascii="Georgia" w:hAnsi="Georgia" w:eastAsia="Georgia"/>
          <w:b/>
          <w:i w:val="0"/>
          <w:sz w:val="24"/>
        </w:rPr>
        <w:t>VM18  ·  267 words  ·  0 hedges  ·  0.0 per 100 words</w:t>
      </w:r>
    </w:p>
    <w:p>
      <w:pPr>
        <w:spacing w:line="240" w:lineRule="auto" w:before="0" w:after="80"/>
        <w:jc w:val="both"/>
      </w:pPr>
      <w:r>
        <w:rPr>
          <w:rFonts w:ascii="Georgia" w:hAnsi="Georgia" w:eastAsia="Georgia"/>
          <w:b w:val="0"/>
          <w:i w:val="0"/>
          <w:color w:val="000000"/>
          <w:sz w:val="22"/>
        </w:rPr>
        <w:t xml:space="preserve">Zoonotic diseases are a significant public health concern, particularly those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eastAsia="Georgia"/>
          <w:b/>
          <w:strike w:val="0"/>
          <w:color w:val="000000"/>
          <w:sz w:val="22"/>
          <w:shd w:val="clear" w:color="auto" w:fill="BFBFBF"/>
        </w:rPr>
        <w:t>Participants exhibited an overall moderate level of awareness (mean=3.30) on canine zoonotic diseases</w:t>
      </w:r>
      <w:r>
        <w:rPr>
          <w:rFonts w:ascii="Georgia" w:hAnsi="Georgia" w:eastAsia="Georgia"/>
          <w:b/>
          <w:i w:val="0"/>
          <w:color w:val="000000"/>
          <w:sz w:val="20"/>
        </w:rPr>
        <w:t xml:space="preserve"> [R]</w:t>
      </w:r>
      <w:r>
        <w:rPr>
          <w:rFonts w:ascii="Georgia" w:hAnsi="Georgia" w:eastAsia="Georgia"/>
          <w:b w:val="0"/>
          <w:i w:val="0"/>
          <w:color w:val="000000"/>
          <w:sz w:val="22"/>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hAnsi="Georgia" w:eastAsia="Georgia"/>
          <w:b/>
          <w:strike w:val="0"/>
          <w:color w:val="000000"/>
          <w:sz w:val="22"/>
          <w:shd w:val="clear" w:color="auto" w:fill="BFBFBF"/>
        </w:rPr>
        <w:t>significant associations (p&lt;0.05) were found between awareness on zoonotic diseases and sociodemographic factors</w:t>
      </w:r>
      <w:r>
        <w:rPr>
          <w:rFonts w:ascii="Georgia" w:hAnsi="Georgia" w:eastAsia="Georgia"/>
          <w:b/>
          <w:i w:val="0"/>
          <w:color w:val="000000"/>
          <w:sz w:val="20"/>
        </w:rPr>
        <w:t xml:space="preserve"> [R]</w:t>
      </w:r>
      <w:r>
        <w:rPr>
          <w:rFonts w:ascii="Georgia" w:hAnsi="Georgia" w:eastAsia="Georgia"/>
          <w:b w:val="0"/>
          <w:i w:val="0"/>
          <w:color w:val="000000"/>
          <w:sz w:val="22"/>
        </w:rPr>
        <w:t>, such as educational attainment (p-value=0.000), monthly income (p-value=0.007), and years of dog ownership (p-value=0.001).</w:t>
      </w:r>
    </w:p>
    <w:p>
      <w:pPr>
        <w:spacing w:before="0" w:after="80" w:line="240" w:lineRule="auto"/>
        <w:jc w:val="left"/>
      </w:pPr>
      <w:r>
        <w:rPr>
          <w:rFonts w:ascii="Georgia" w:hAnsi="Georgia" w:eastAsia="Georgia"/>
          <w:b/>
          <w:i w:val="0"/>
          <w:sz w:val="24"/>
        </w:rPr>
        <w:t>VM19  ·  172 words  ·  0 hedges  ·  0.0 per 100 words</w:t>
      </w:r>
    </w:p>
    <w:p>
      <w:pPr>
        <w:spacing w:line="240" w:lineRule="auto" w:before="0" w:after="80"/>
        <w:jc w:val="both"/>
      </w:pPr>
      <w:r>
        <w:rPr>
          <w:rFonts w:ascii="Georgia" w:hAnsi="Georgia" w:eastAsia="Georgia"/>
          <w:b w:val="0"/>
          <w:i w:val="0"/>
          <w:color w:val="000000"/>
          <w:sz w:val="22"/>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pPr>
        <w:spacing w:before="0" w:after="80" w:line="240" w:lineRule="auto"/>
        <w:jc w:val="left"/>
      </w:pPr>
      <w:r>
        <w:rPr>
          <w:rFonts w:ascii="Georgia" w:hAnsi="Georgia" w:eastAsia="Georgia"/>
          <w:b/>
          <w:i w:val="0"/>
          <w:sz w:val="24"/>
        </w:rPr>
        <w:t>VM20  ·  271 words  ·  0 hedges  ·  0.0 per 100 words</w:t>
      </w:r>
    </w:p>
    <w:p>
      <w:pPr>
        <w:spacing w:line="240" w:lineRule="auto" w:before="0" w:after="80"/>
        <w:jc w:val="both"/>
      </w:pPr>
      <w:r>
        <w:rPr>
          <w:rFonts w:ascii="Georgia" w:hAnsi="Georgia" w:eastAsia="Georgia"/>
          <w:b w:val="0"/>
          <w:i w:val="0"/>
          <w:color w:val="000000"/>
          <w:sz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hAnsi="Georgia" w:eastAsia="Georgia"/>
          <w:b/>
          <w:strike w:val="0"/>
          <w:color w:val="000000"/>
          <w:sz w:val="22"/>
          <w:shd w:val="clear" w:color="auto" w:fill="BFBFBF"/>
        </w:rPr>
        <w:t>The results indicated that most respondents demonstrated high knowledge about rabies (69.3%), particularly regarding transmission and prevention</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hAnsi="Georgia" w:eastAsia="Georgia"/>
          <w:b/>
          <w:strike w:val="0"/>
          <w:color w:val="000000"/>
          <w:sz w:val="22"/>
          <w:shd w:val="clear" w:color="auto" w:fill="BFBFBF"/>
        </w:rPr>
        <w:t>Multiple linear regression analysis confirmed interrelationships among KAP dimensions, revealing that higher knowledge scores significantly predicted better preventive behaviors</w:t>
      </w:r>
      <w:r>
        <w:rPr>
          <w:rFonts w:ascii="Georgia" w:hAnsi="Georgia" w:eastAsia="Georgia"/>
          <w:b/>
          <w:i w:val="0"/>
          <w:color w:val="000000"/>
          <w:sz w:val="20"/>
        </w:rPr>
        <w:t xml:space="preserve"> [R]</w:t>
      </w:r>
      <w:r>
        <w:rPr>
          <w:rFonts w:ascii="Georgia" w:hAnsi="Georgia" w:eastAsia="Georgia"/>
          <w:b w:val="0"/>
          <w:i w:val="0"/>
          <w:color w:val="000000"/>
          <w:sz w:val="22"/>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mitigate rabies transmission risks. These insights align with broader efforts toward rabies elimination in the Philippines by 2030, emphasizing the importance of addressing localized KAP gaps through evidence-based interventions.</w:t>
      </w:r>
    </w:p>
    <w:p>
      <w:pPr>
        <w:spacing w:before="0" w:after="80" w:line="240" w:lineRule="auto"/>
        <w:jc w:val="center"/>
      </w:pPr>
      <w:r>
        <w:rPr>
          <w:rFonts w:ascii="Georgia" w:hAnsi="Georgia" w:eastAsia="Georgia"/>
          <w:b/>
          <w:i w:val="0"/>
          <w:sz w:val="24"/>
        </w:rPr>
        <w:t>Agriculture, Crop Science (Acs1–Acs10)</w:t>
      </w:r>
    </w:p>
    <w:p>
      <w:pPr>
        <w:spacing w:before="0" w:after="80" w:line="240" w:lineRule="auto"/>
        <w:jc w:val="left"/>
      </w:pPr>
      <w:r>
        <w:rPr>
          <w:rFonts w:ascii="Georgia" w:hAnsi="Georgia" w:eastAsia="Georgia"/>
          <w:b/>
          <w:i w:val="0"/>
          <w:sz w:val="24"/>
        </w:rPr>
        <w:t>Acs1  ·  203 words  ·  1 hedges  ·  0.49 per 100 words</w:t>
      </w:r>
    </w:p>
    <w:p>
      <w:pPr>
        <w:spacing w:line="240" w:lineRule="auto" w:before="0" w:after="80"/>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0" w:after="80" w:line="240" w:lineRule="auto"/>
        <w:jc w:val="left"/>
      </w:pPr>
      <w:r>
        <w:rPr>
          <w:rFonts w:ascii="Georgia" w:hAnsi="Georgia" w:eastAsia="Georgia"/>
          <w:b/>
          <w:i w:val="0"/>
          <w:sz w:val="24"/>
        </w:rPr>
        <w:t>Acs2  ·  184 words  ·  8 hedges  ·  4.35 per 100 words</w:t>
      </w:r>
    </w:p>
    <w:p>
      <w:pPr>
        <w:spacing w:line="240" w:lineRule="auto" w:before="0" w:after="80"/>
        <w:jc w:val="both"/>
      </w:pPr>
      <w:r>
        <w:rPr>
          <w:rFonts w:ascii="Georgia" w:hAnsi="Georgia" w:eastAsia="Georgia"/>
          <w:b w:val="0"/>
          <w:i w:val="0"/>
          <w:color w:val="000000"/>
          <w:sz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statistical significance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observed, the mycorrhiza treatment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still offer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the differences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significant in the study, the researchers believe that mycorrhiza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provide beneficial effects in practical agricultural contexts. The study concluded that the application of mycorrhiza positive impact on mung beans during drought and root development highlights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for plant growth. Further research </w:t>
      </w:r>
      <w:r>
        <w:rPr>
          <w:rFonts w:ascii="Georgia" w:hAnsi="Georgia"/>
          <w:b/>
          <w:strike/>
          <w:color w:val="000000"/>
          <w:sz w:val="22"/>
        </w:rPr>
        <w:t>could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unveil additional insights and applications for optimizing plant health.</w:t>
      </w:r>
    </w:p>
    <w:p>
      <w:pPr>
        <w:spacing w:before="0" w:after="80" w:line="240" w:lineRule="auto"/>
        <w:jc w:val="left"/>
      </w:pPr>
      <w:r>
        <w:rPr>
          <w:rFonts w:ascii="Georgia" w:hAnsi="Georgia" w:eastAsia="Georgia"/>
          <w:b/>
          <w:i w:val="0"/>
          <w:sz w:val="24"/>
        </w:rPr>
        <w:t>Acs3  ·  235 words  ·  2 hedges  ·  0.85 per 100 words</w:t>
      </w:r>
    </w:p>
    <w:p>
      <w:pPr>
        <w:spacing w:line="240" w:lineRule="auto" w:before="0" w:after="80"/>
        <w:jc w:val="both"/>
      </w:pPr>
      <w:r>
        <w:rPr>
          <w:rFonts w:ascii="Georgia" w:hAnsi="Georgia" w:eastAsia="Georgia"/>
          <w:b w:val="0"/>
          <w:i w:val="0"/>
          <w:color w:val="000000"/>
          <w:sz w:val="22"/>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the water treatment application but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not establish roots and die after several days. However,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derived that the application of different alternative rooting hormones has a comparable effect with synthetic rooting hormones based on the growth parameters.</w:t>
      </w:r>
    </w:p>
    <w:p>
      <w:pPr>
        <w:spacing w:before="0" w:after="80" w:line="240" w:lineRule="auto"/>
        <w:jc w:val="left"/>
      </w:pPr>
      <w:r>
        <w:rPr>
          <w:rFonts w:ascii="Georgia" w:hAnsi="Georgia" w:eastAsia="Georgia"/>
          <w:b/>
          <w:i w:val="0"/>
          <w:sz w:val="24"/>
        </w:rPr>
        <w:t>Acs4  ·  221 words  ·  0 hedges  ·  0.0 per 100 words</w:t>
      </w:r>
    </w:p>
    <w:p>
      <w:pPr>
        <w:spacing w:line="240" w:lineRule="auto" w:before="0" w:after="80"/>
        <w:jc w:val="both"/>
      </w:pPr>
      <w:r>
        <w:rPr>
          <w:rFonts w:ascii="Georgia" w:hAnsi="Georgia" w:eastAsia="Georgia"/>
          <w:b w:val="0"/>
          <w:i w:val="0"/>
          <w:color w:val="000000"/>
          <w:sz w:val="22"/>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reduce production cost and provide the highest return on investment.</w:t>
      </w:r>
    </w:p>
    <w:p>
      <w:pPr>
        <w:spacing w:before="0" w:after="80" w:line="240" w:lineRule="auto"/>
        <w:jc w:val="left"/>
      </w:pPr>
      <w:r>
        <w:rPr>
          <w:rFonts w:ascii="Georgia" w:hAnsi="Georgia" w:eastAsia="Georgia"/>
          <w:b/>
          <w:i w:val="0"/>
          <w:sz w:val="24"/>
        </w:rPr>
        <w:t>Acs5  ·  199 words  ·  2 hedges  ·  1.01 per 100 words</w:t>
      </w:r>
    </w:p>
    <w:p>
      <w:pPr>
        <w:spacing w:line="240" w:lineRule="auto" w:before="0" w:after="80"/>
        <w:jc w:val="both"/>
      </w:pPr>
      <w:r>
        <w:rPr>
          <w:rFonts w:ascii="Georgia" w:hAnsi="Georgia" w:eastAsia="Georgia"/>
          <w:b w:val="0"/>
          <w:i w:val="0"/>
          <w:color w:val="000000"/>
          <w:sz w:val="22"/>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Trichoderma and fermented azolla at proper application frequencies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beneficial in enhancing cultivation, promoting both plant growth and economic returns.</w:t>
      </w:r>
    </w:p>
    <w:p>
      <w:pPr>
        <w:spacing w:before="0" w:after="80" w:line="240" w:lineRule="auto"/>
        <w:jc w:val="left"/>
      </w:pPr>
      <w:r>
        <w:rPr>
          <w:rFonts w:ascii="Georgia" w:hAnsi="Georgia" w:eastAsia="Georgia"/>
          <w:b/>
          <w:i w:val="0"/>
          <w:sz w:val="24"/>
        </w:rPr>
        <w:t>Acs6  ·  245 words  ·  1 hedges  ·  0.41 per 100 words</w:t>
      </w:r>
    </w:p>
    <w:p>
      <w:pPr>
        <w:spacing w:line="240" w:lineRule="auto" w:before="0" w:after="80"/>
        <w:jc w:val="both"/>
      </w:pPr>
      <w:r>
        <w:rPr>
          <w:rFonts w:ascii="Georgia" w:hAnsi="Georgia" w:eastAsia="Georgia"/>
          <w:b w:val="0"/>
          <w:i w:val="0"/>
          <w:color w:val="000000"/>
          <w:sz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effective, low-cost, and sustainable soil amendments for ornamental and horticultural cultivation, offering practical options for growers seeking eco-friendly methods to improve plant performance.</w:t>
      </w:r>
    </w:p>
    <w:p>
      <w:pPr>
        <w:spacing w:before="0" w:after="80" w:line="240" w:lineRule="auto"/>
        <w:jc w:val="left"/>
      </w:pPr>
      <w:r>
        <w:rPr>
          <w:rFonts w:ascii="Georgia" w:hAnsi="Georgia" w:eastAsia="Georgia"/>
          <w:b/>
          <w:i w:val="0"/>
          <w:sz w:val="24"/>
        </w:rPr>
        <w:t>Acs7  ·  207 words  ·  1 hedges  ·  0.48 per 100 words</w:t>
      </w:r>
    </w:p>
    <w:p>
      <w:pPr>
        <w:spacing w:line="240" w:lineRule="auto" w:before="0" w:after="80"/>
        <w:jc w:val="both"/>
      </w:pPr>
      <w:r>
        <w:rPr>
          <w:rFonts w:ascii="Georgia" w:hAnsi="Georgia" w:eastAsia="Georgia"/>
          <w:b w:val="0"/>
          <w:i w:val="0"/>
          <w:color w:val="000000"/>
          <w:sz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attributed to the nutrient-rich content of GB 1000+ FF, which enhances soil conditions and facilitates better nutrient availability. In GB 1000+ FF contributed to vigorous vegetative growth and ultimately led to taller eggplant plants.</w:t>
      </w:r>
    </w:p>
    <w:p>
      <w:pPr>
        <w:spacing w:before="0" w:after="80" w:line="240" w:lineRule="auto"/>
        <w:jc w:val="left"/>
      </w:pPr>
      <w:r>
        <w:rPr>
          <w:rFonts w:ascii="Georgia" w:hAnsi="Georgia" w:eastAsia="Georgia"/>
          <w:b/>
          <w:i w:val="0"/>
          <w:sz w:val="24"/>
        </w:rPr>
        <w:t>Acs8  ·  164 words  ·  0 hedges  ·  0.0 per 100 words</w:t>
      </w:r>
    </w:p>
    <w:p>
      <w:pPr>
        <w:spacing w:line="240" w:lineRule="auto" w:before="0" w:after="80"/>
        <w:jc w:val="both"/>
      </w:pPr>
      <w:r>
        <w:rPr>
          <w:rFonts w:ascii="Georgia" w:hAnsi="Georgia" w:eastAsia="Georgia"/>
          <w:b w:val="0"/>
          <w:i w:val="0"/>
          <w:color w:val="000000"/>
          <w:sz w:val="22"/>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hAnsi="Georgia" w:eastAsia="Georgia"/>
          <w:b/>
          <w:strike w:val="0"/>
          <w:color w:val="000000"/>
          <w:sz w:val="22"/>
          <w:shd w:val="clear" w:color="auto" w:fill="BFBFBF"/>
        </w:rPr>
        <w:t>there was no significant difference among the different methods of kuhol amino acid app in terms of plant height</w:t>
      </w:r>
      <w:r>
        <w:rPr>
          <w:rFonts w:ascii="Georgia" w:hAnsi="Georgia" w:eastAsia="Georgia"/>
          <w:b/>
          <w:i w:val="0"/>
          <w:color w:val="000000"/>
          <w:sz w:val="20"/>
        </w:rPr>
        <w:t xml:space="preserve"> [R]</w:t>
      </w:r>
      <w:r>
        <w:rPr>
          <w:rFonts w:ascii="Georgia" w:hAnsi="Georgia" w:eastAsia="Georgia"/>
          <w:b w:val="0"/>
          <w:i w:val="0"/>
          <w:color w:val="000000"/>
          <w:sz w:val="22"/>
        </w:rPr>
        <w:t xml:space="preserve">, weight of marketable and weight of non-marketable fruit, number of marketable and non-marketable fruits, and computed yield. </w:t>
      </w:r>
      <w:r>
        <w:rPr>
          <w:rFonts w:ascii="Georgia" w:hAnsi="Georgia" w:eastAsia="Georgia"/>
          <w:b/>
          <w:strike w:val="0"/>
          <w:color w:val="000000"/>
          <w:sz w:val="22"/>
          <w:shd w:val="clear" w:color="auto" w:fill="BFBFBF"/>
        </w:rPr>
        <w:t>Different methods of kuhol amino acid application influenced the plant height, weight of fruits, number of marketable and non-marketable fruits, and computed yield</w:t>
      </w:r>
      <w:r>
        <w:rPr>
          <w:rFonts w:ascii="Georgia" w:hAnsi="Georgia" w:eastAsia="Georgia"/>
          <w:b/>
          <w:i w:val="0"/>
          <w:color w:val="000000"/>
          <w:sz w:val="20"/>
        </w:rPr>
        <w:t xml:space="preserve"> [G]</w:t>
      </w:r>
      <w:r>
        <w:rPr>
          <w:rFonts w:ascii="Georgia" w:hAnsi="Georgia" w:eastAsia="Georgia"/>
          <w:b w:val="0"/>
          <w:i w:val="0"/>
          <w:color w:val="000000"/>
          <w:sz w:val="22"/>
        </w:rPr>
        <w:t xml:space="preserve">. The researcher </w:t>
      </w:r>
      <w:r>
        <w:rPr>
          <w:rFonts w:ascii="Georgia" w:hAnsi="Georgia"/>
          <w:b/>
          <w:strike/>
          <w:color w:val="000000"/>
          <w:sz w:val="22"/>
        </w:rPr>
        <w:t>recommends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foliar and drenching application of kuhol amino acid. because, numerically, it consistently produced the highest yield performance.</w:t>
      </w:r>
    </w:p>
    <w:p>
      <w:pPr>
        <w:spacing w:before="0" w:after="80" w:line="240" w:lineRule="auto"/>
        <w:jc w:val="left"/>
      </w:pPr>
      <w:r>
        <w:rPr>
          <w:rFonts w:ascii="Georgia" w:hAnsi="Georgia" w:eastAsia="Georgia"/>
          <w:b/>
          <w:i w:val="0"/>
          <w:sz w:val="24"/>
        </w:rPr>
        <w:t>Acs9  ·  170 words  ·  2 hedges  ·  1.18 per 100 words</w:t>
      </w:r>
    </w:p>
    <w:p>
      <w:pPr>
        <w:spacing w:line="240" w:lineRule="auto" w:before="0" w:after="80"/>
        <w:jc w:val="both"/>
      </w:pPr>
      <w:r>
        <w:rPr>
          <w:rFonts w:ascii="Georgia" w:hAnsi="Georgia" w:eastAsia="Georgia"/>
          <w:b w:val="0"/>
          <w:i w:val="0"/>
          <w:color w:val="000000"/>
          <w:sz w:val="22"/>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soaking sugarcane setts in Azospirillum spp. biofertilizer for 24 hours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effectively promote early growth by enhancing root development and biomass accumulation, thereby supporting improved propagation success.</w:t>
      </w:r>
    </w:p>
    <w:p>
      <w:pPr>
        <w:spacing w:before="0" w:after="80" w:line="240" w:lineRule="auto"/>
        <w:jc w:val="left"/>
      </w:pPr>
      <w:r>
        <w:rPr>
          <w:rFonts w:ascii="Georgia" w:hAnsi="Georgia" w:eastAsia="Georgia"/>
          <w:b/>
          <w:i w:val="0"/>
          <w:sz w:val="24"/>
        </w:rPr>
        <w:t>Acs10  ·  246 words  ·  0 hedges  ·  0.0 per 100 words</w:t>
      </w:r>
    </w:p>
    <w:p>
      <w:pPr>
        <w:spacing w:line="240" w:lineRule="auto" w:before="0" w:after="80"/>
        <w:jc w:val="both"/>
      </w:pPr>
      <w:r>
        <w:rPr>
          <w:rFonts w:ascii="Georgia" w:hAnsi="Georgia" w:eastAsia="Georgia"/>
          <w:b w:val="0"/>
          <w:i w:val="0"/>
          <w:color w:val="000000"/>
          <w:sz w:val="22"/>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hAnsi="Georgia" w:eastAsia="Georgia"/>
          <w:b/>
          <w:strike w:val="0"/>
          <w:color w:val="000000"/>
          <w:sz w:val="22"/>
          <w:shd w:val="clear" w:color="auto" w:fill="BFBFBF"/>
        </w:rPr>
        <w:t>a significant difference was observed in the number of productive tillers, actual yield per sample area, and computed yield per ton/ha</w:t>
      </w:r>
      <w:r>
        <w:rPr>
          <w:rFonts w:ascii="Georgia" w:hAnsi="Georgia" w:eastAsia="Georgia"/>
          <w:b/>
          <w:i w:val="0"/>
          <w:color w:val="000000"/>
          <w:sz w:val="20"/>
        </w:rPr>
        <w:t xml:space="preserve"> [R]</w:t>
      </w:r>
      <w:r>
        <w:rPr>
          <w:rFonts w:ascii="Georgia" w:hAnsi="Georgia" w:eastAsia="Georgia"/>
          <w:b w:val="0"/>
          <w:i w:val="0"/>
          <w:color w:val="000000"/>
          <w:sz w:val="22"/>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hAnsi="Georgia" w:eastAsia="Georgia"/>
          <w:b/>
          <w:strike w:val="0"/>
          <w:color w:val="000000"/>
          <w:sz w:val="22"/>
          <w:shd w:val="clear" w:color="auto" w:fill="BFBFBF"/>
        </w:rPr>
        <w:t>T3: NPK+14-14-14 was the most compelling treatment among all treatments in terms of producing the highest number of productive tillers and obtaining the heaviest yield per ton/ha</w:t>
      </w:r>
      <w:r>
        <w:rPr>
          <w:rFonts w:ascii="Georgia" w:hAnsi="Georgia" w:eastAsia="Georgia"/>
          <w:b/>
          <w:i w:val="0"/>
          <w:color w:val="000000"/>
          <w:sz w:val="20"/>
        </w:rPr>
        <w:t xml:space="preserve"> [G]</w:t>
      </w:r>
      <w:r>
        <w:rPr>
          <w:rFonts w:ascii="Georgia" w:hAnsi="Georgia" w:eastAsia="Georgia"/>
          <w:b w:val="0"/>
          <w:i w:val="0"/>
          <w:color w:val="000000"/>
          <w:sz w:val="22"/>
        </w:rPr>
        <w:t>.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pPr>
        <w:spacing w:before="0" w:after="80" w:line="240" w:lineRule="auto"/>
        <w:jc w:val="center"/>
      </w:pPr>
      <w:r>
        <w:rPr>
          <w:rFonts w:ascii="Georgia" w:hAnsi="Georgia" w:eastAsia="Georgia"/>
          <w:b/>
          <w:i w:val="0"/>
          <w:sz w:val="24"/>
        </w:rPr>
        <w:t>Agriculture, Animal Science (Aas1–Aas10)</w:t>
      </w:r>
    </w:p>
    <w:p>
      <w:pPr>
        <w:spacing w:before="0" w:after="80" w:line="240" w:lineRule="auto"/>
        <w:jc w:val="left"/>
      </w:pPr>
      <w:r>
        <w:rPr>
          <w:rFonts w:ascii="Georgia" w:hAnsi="Georgia" w:eastAsia="Georgia"/>
          <w:b/>
          <w:i w:val="0"/>
          <w:sz w:val="24"/>
        </w:rPr>
        <w:t>Aas1  ·  203 words  ·  0 hedges  ·  0.0 per 100 words</w:t>
      </w:r>
    </w:p>
    <w:p>
      <w:pPr>
        <w:spacing w:line="240" w:lineRule="auto" w:before="0" w:after="80"/>
        <w:jc w:val="both"/>
      </w:pPr>
      <w:r>
        <w:rPr>
          <w:rFonts w:ascii="Georgia" w:hAnsi="Georgia" w:eastAsia="Georgia"/>
          <w:b w:val="0"/>
          <w:i w:val="0"/>
          <w:color w:val="000000"/>
          <w:sz w:val="22"/>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hAnsi="Georgia" w:eastAsia="Georgia"/>
          <w:b/>
          <w:strike w:val="0"/>
          <w:color w:val="000000"/>
          <w:sz w:val="22"/>
          <w:shd w:val="clear" w:color="auto" w:fill="BFBFBF"/>
        </w:rPr>
        <w:t>No significant differences were observed in terms of mean initial weight (kg), mean final weight (kg)</w:t>
      </w:r>
      <w:r>
        <w:rPr>
          <w:rFonts w:ascii="Georgia" w:hAnsi="Georgia" w:eastAsia="Georgia"/>
          <w:b/>
          <w:i w:val="0"/>
          <w:color w:val="000000"/>
          <w:sz w:val="20"/>
        </w:rPr>
        <w:t xml:space="preserve"> [R]</w:t>
      </w:r>
      <w:r>
        <w:rPr>
          <w:rFonts w:ascii="Georgia" w:hAnsi="Georgia" w:eastAsia="Georgia"/>
          <w:b w:val="0"/>
          <w:i w:val="0"/>
          <w:color w:val="000000"/>
          <w:sz w:val="22"/>
        </w:rPr>
        <w:t xml:space="preserve">, mean gain in weight (kg), mean DM intake (kg), or feed conversion ratio. </w:t>
      </w:r>
      <w:r>
        <w:rPr>
          <w:rFonts w:ascii="Georgia" w:hAnsi="Georgia" w:eastAsia="Georgia"/>
          <w:b/>
          <w:strike w:val="0"/>
          <w:color w:val="000000"/>
          <w:sz w:val="22"/>
          <w:shd w:val="clear" w:color="auto" w:fill="BFBFBF"/>
        </w:rPr>
        <w:t>The student researcher concluded that T2 (20% GA Leaves + 40% Paragrass + 40% Concentrate Feeds) was the most compelling treatment among all treatments for the rabbits in terms of outperforming the data numerically</w:t>
      </w:r>
      <w:r>
        <w:rPr>
          <w:rFonts w:ascii="Georgia" w:hAnsi="Georgia" w:eastAsia="Georgia"/>
          <w:b/>
          <w:i w:val="0"/>
          <w:color w:val="000000"/>
          <w:sz w:val="20"/>
        </w:rPr>
        <w:t xml:space="preserve"> [G]</w:t>
      </w:r>
      <w:r>
        <w:rPr>
          <w:rFonts w:ascii="Georgia" w:hAnsi="Georgia" w:eastAsia="Georgia"/>
          <w:b w:val="0"/>
          <w:i w:val="0"/>
          <w:color w:val="000000"/>
          <w:sz w:val="22"/>
        </w:rPr>
        <w:t>. The 20% Gmelina arborea + 40% Para grass + 40% Concentrate Feeds greatly contributed to performances in terms of obtaining the highest mean final weight, mean gain in weight, and highest net income.</w:t>
      </w:r>
    </w:p>
    <w:p>
      <w:pPr>
        <w:spacing w:before="0" w:after="80" w:line="240" w:lineRule="auto"/>
        <w:jc w:val="left"/>
      </w:pPr>
      <w:r>
        <w:rPr>
          <w:rFonts w:ascii="Georgia" w:hAnsi="Georgia" w:eastAsia="Georgia"/>
          <w:b/>
          <w:i w:val="0"/>
          <w:sz w:val="24"/>
        </w:rPr>
        <w:t>Aas2  ·  182 words  ·  0 hedges  ·  0.0 per 100 words</w:t>
      </w:r>
    </w:p>
    <w:p>
      <w:pPr>
        <w:spacing w:line="240" w:lineRule="auto" w:before="0" w:after="80"/>
        <w:jc w:val="both"/>
      </w:pPr>
      <w:r>
        <w:rPr>
          <w:rFonts w:ascii="Georgia" w:hAnsi="Georgia" w:eastAsia="Georgia"/>
          <w:b w:val="0"/>
          <w:i w:val="0"/>
          <w:color w:val="000000"/>
          <w:sz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hAnsi="Georgia" w:eastAsia="Georgia"/>
          <w:b/>
          <w:strike w:val="0"/>
          <w:color w:val="000000"/>
          <w:sz w:val="22"/>
          <w:shd w:val="clear" w:color="auto" w:fill="BFBFBF"/>
        </w:rPr>
        <w:t>the fermented okara extract had the biggest impact, resulting in the heaviest weight</w:t>
      </w:r>
      <w:r>
        <w:rPr>
          <w:rFonts w:ascii="Georgia" w:hAnsi="Georgia" w:eastAsia="Georgia"/>
          <w:b/>
          <w:i w:val="0"/>
          <w:color w:val="000000"/>
          <w:sz w:val="20"/>
        </w:rPr>
        <w:t xml:space="preserve"> [C]</w:t>
      </w:r>
      <w:r>
        <w:rPr>
          <w:rFonts w:ascii="Georgia" w:hAnsi="Georgia" w:eastAsia="Georgia"/>
          <w:b w:val="0"/>
          <w:i w:val="0"/>
          <w:color w:val="000000"/>
          <w:sz w:val="22"/>
        </w:rPr>
        <w:t xml:space="preserve">. Additionally, </w:t>
      </w:r>
      <w:r>
        <w:rPr>
          <w:rFonts w:ascii="Georgia" w:hAnsi="Georgia" w:eastAsia="Georgia"/>
          <w:b/>
          <w:strike w:val="0"/>
          <w:color w:val="000000"/>
          <w:sz w:val="22"/>
          <w:shd w:val="clear" w:color="auto" w:fill="BFBFBF"/>
        </w:rPr>
        <w:t>the total return result showed a promising future for fermented okara extract at a level of 60 ml (166.00 PHP)</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0" w:after="80" w:line="240" w:lineRule="auto"/>
        <w:jc w:val="left"/>
      </w:pPr>
      <w:r>
        <w:rPr>
          <w:rFonts w:ascii="Georgia" w:hAnsi="Georgia" w:eastAsia="Georgia"/>
          <w:b/>
          <w:i w:val="0"/>
          <w:sz w:val="24"/>
        </w:rPr>
        <w:t>Aas3  ·  296 words  ·  2 hedges  ·  0.68 per 100 words</w:t>
      </w:r>
    </w:p>
    <w:p>
      <w:pPr>
        <w:spacing w:line="240" w:lineRule="auto" w:before="0" w:after="80"/>
        <w:jc w:val="both"/>
      </w:pPr>
      <w:r>
        <w:rPr>
          <w:rFonts w:ascii="Georgia" w:hAnsi="Georgia" w:eastAsia="Georgia"/>
          <w:b w:val="0"/>
          <w:i w:val="0"/>
          <w:color w:val="000000"/>
          <w:sz w:val="22"/>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concluded that D1 rice bran mixed with water spinach and with golden apple snail used in the study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minimize the cost of production, specifically the feed cost.</w:t>
      </w:r>
    </w:p>
    <w:p>
      <w:pPr>
        <w:spacing w:before="0" w:after="80" w:line="240" w:lineRule="auto"/>
        <w:jc w:val="left"/>
      </w:pPr>
      <w:r>
        <w:rPr>
          <w:rFonts w:ascii="Georgia" w:hAnsi="Georgia" w:eastAsia="Georgia"/>
          <w:b/>
          <w:i w:val="0"/>
          <w:sz w:val="24"/>
        </w:rPr>
        <w:t>Aas4  ·  161 words  ·  1 hedges  ·  0.62 per 100 words</w:t>
      </w:r>
    </w:p>
    <w:p>
      <w:pPr>
        <w:spacing w:line="240" w:lineRule="auto" w:before="0" w:after="80"/>
        <w:jc w:val="both"/>
      </w:pPr>
      <w:r>
        <w:rPr>
          <w:rFonts w:ascii="Georgia" w:hAnsi="Georgia" w:eastAsia="Georgia"/>
          <w:b w:val="0"/>
          <w:i w:val="0"/>
          <w:color w:val="000000"/>
          <w:sz w:val="22"/>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significant difference among the treatments with regard to their initial weight, gain in weight, average daily gain, and feed conversion ratio of the experimental rabbits.</w:t>
      </w:r>
    </w:p>
    <w:p>
      <w:pPr>
        <w:spacing w:before="0" w:after="80" w:line="240" w:lineRule="auto"/>
        <w:jc w:val="left"/>
      </w:pPr>
      <w:r>
        <w:rPr>
          <w:rFonts w:ascii="Georgia" w:hAnsi="Georgia" w:eastAsia="Georgia"/>
          <w:b/>
          <w:i w:val="0"/>
          <w:sz w:val="24"/>
        </w:rPr>
        <w:t>Aas5  ·  316 words  ·  1 hedges  ·  0.32 per 100 words</w:t>
      </w:r>
    </w:p>
    <w:p>
      <w:pPr>
        <w:spacing w:line="240" w:lineRule="auto" w:before="0" w:after="80"/>
        <w:jc w:val="both"/>
      </w:pPr>
      <w:r>
        <w:rPr>
          <w:rFonts w:ascii="Georgia" w:hAnsi="Georgia" w:eastAsia="Georgia"/>
          <w:b w:val="0"/>
          <w:i w:val="0"/>
          <w:color w:val="000000"/>
          <w:sz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drive animal production systems to find new sources of high-quality and sustainable protein feed raw materials. Fortunately, insect farming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seen as a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pPr>
        <w:spacing w:before="0" w:after="80" w:line="240" w:lineRule="auto"/>
        <w:jc w:val="left"/>
      </w:pPr>
      <w:r>
        <w:rPr>
          <w:rFonts w:ascii="Georgia" w:hAnsi="Georgia" w:eastAsia="Georgia"/>
          <w:b/>
          <w:i w:val="0"/>
          <w:sz w:val="24"/>
        </w:rPr>
        <w:t>Aas6  ·  209 words  ·  0 hedges  ·  0.0 per 100 words</w:t>
      </w:r>
    </w:p>
    <w:p>
      <w:pPr>
        <w:spacing w:line="240" w:lineRule="auto" w:before="0" w:after="80"/>
        <w:jc w:val="both"/>
      </w:pPr>
      <w:r>
        <w:rPr>
          <w:rFonts w:ascii="Georgia" w:hAnsi="Georgia" w:eastAsia="Georgia"/>
          <w:b w:val="0"/>
          <w:i w:val="0"/>
          <w:color w:val="000000"/>
          <w:sz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hAnsi="Georgia" w:eastAsia="Georgia"/>
          <w:b/>
          <w:strike w:val="0"/>
          <w:color w:val="000000"/>
          <w:sz w:val="22"/>
          <w:shd w:val="clear" w:color="auto" w:fill="BFBFBF"/>
        </w:rPr>
        <w:t>It was found to have a significant effect on the growth and germination rate of pigeon pea in terms of days to germinate, plant height, a number of leaves, and length of leaves</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Sulfuric was second in terms of the scarification method effectiveness for pigeon pea</w:t>
      </w:r>
      <w:r>
        <w:rPr>
          <w:rFonts w:ascii="Georgia" w:hAnsi="Georgia" w:eastAsia="Georgia"/>
          <w:b/>
          <w:i w:val="0"/>
          <w:color w:val="000000"/>
          <w:sz w:val="20"/>
        </w:rPr>
        <w:t xml:space="preserve"> [G]</w:t>
      </w:r>
      <w:r>
        <w:rPr>
          <w:rFonts w:ascii="Georgia" w:hAnsi="Georgia" w:eastAsia="Georgia"/>
          <w:b w:val="0"/>
          <w:i w:val="0"/>
          <w:color w:val="000000"/>
          <w:sz w:val="22"/>
        </w:rPr>
        <w:t>,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pPr>
        <w:spacing w:before="0" w:after="80" w:line="240" w:lineRule="auto"/>
        <w:jc w:val="left"/>
      </w:pPr>
      <w:r>
        <w:rPr>
          <w:rFonts w:ascii="Georgia" w:hAnsi="Georgia" w:eastAsia="Georgia"/>
          <w:b/>
          <w:i w:val="0"/>
          <w:sz w:val="24"/>
        </w:rPr>
        <w:t>Aas7  ·  202 words  ·  3 hedges  ·  1.49 per 100 words</w:t>
      </w:r>
    </w:p>
    <w:p>
      <w:pPr>
        <w:spacing w:line="240" w:lineRule="auto" w:before="0" w:after="80"/>
        <w:jc w:val="both"/>
      </w:pPr>
      <w:r>
        <w:rPr>
          <w:rFonts w:ascii="Georgia" w:hAnsi="Georgia" w:eastAsia="Georgia"/>
          <w:b w:val="0"/>
          <w:i w:val="0"/>
          <w:color w:val="000000"/>
          <w:sz w:val="22"/>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eastAsia="Georgia"/>
          <w:b/>
          <w:strike w:val="0"/>
          <w:color w:val="FFFFFF"/>
          <w:sz w:val="22"/>
          <w:shd w:val="clear" w:color="auto" w:fill="FF0000"/>
        </w:rPr>
        <w:t>implying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Madre de Agua is a viable feed component under these conditions. Feeding 20%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improve final weight, while feeding 10%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reduce dry matter intake.</w:t>
      </w:r>
    </w:p>
    <w:p>
      <w:pPr>
        <w:spacing w:before="0" w:after="80" w:line="240" w:lineRule="auto"/>
        <w:jc w:val="left"/>
      </w:pPr>
      <w:r>
        <w:rPr>
          <w:rFonts w:ascii="Georgia" w:hAnsi="Georgia" w:eastAsia="Georgia"/>
          <w:b/>
          <w:i w:val="0"/>
          <w:sz w:val="24"/>
        </w:rPr>
        <w:t>Aas8  ·  186 words  ·  0 hedges  ·  0.0 per 100 words</w:t>
      </w:r>
    </w:p>
    <w:p>
      <w:pPr>
        <w:spacing w:line="240" w:lineRule="auto" w:before="0" w:after="80"/>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0" w:after="80" w:line="240" w:lineRule="auto"/>
        <w:jc w:val="left"/>
      </w:pPr>
      <w:r>
        <w:rPr>
          <w:rFonts w:ascii="Georgia" w:hAnsi="Georgia" w:eastAsia="Georgia"/>
          <w:b/>
          <w:i w:val="0"/>
          <w:sz w:val="24"/>
        </w:rPr>
        <w:t>Aas9  ·  188 words  ·  0 hedges  ·  0.0 per 100 words</w:t>
      </w:r>
    </w:p>
    <w:p>
      <w:pPr>
        <w:spacing w:line="240" w:lineRule="auto" w:before="0" w:after="80"/>
        <w:jc w:val="both"/>
      </w:pPr>
      <w:r>
        <w:rPr>
          <w:rFonts w:ascii="Georgia" w:hAnsi="Georgia" w:eastAsia="Georgia"/>
          <w:b w:val="0"/>
          <w:i w:val="0"/>
          <w:color w:val="000000"/>
          <w:sz w:val="22"/>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hAnsi="Georgia" w:eastAsia="Georgia"/>
          <w:b/>
          <w:strike w:val="0"/>
          <w:color w:val="000000"/>
          <w:sz w:val="22"/>
          <w:shd w:val="clear" w:color="auto" w:fill="BFBFBF"/>
        </w:rPr>
        <w:t>The results disclosed that the percentage of mortality and moisture content were statistically significant at 1% (P&lt;0.01) and (P&lt;0.05) level with 48 hours after the post-treatment</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mortality rate and moisture content were not significant after 6 hours and 24 hours</w:t>
      </w:r>
      <w:r>
        <w:rPr>
          <w:rFonts w:ascii="Georgia" w:hAnsi="Georgia" w:eastAsia="Georgia"/>
          <w:b/>
          <w:i w:val="0"/>
          <w:color w:val="000000"/>
          <w:sz w:val="20"/>
        </w:rPr>
        <w:t xml:space="preserve"> [R]</w:t>
      </w:r>
      <w:r>
        <w:rPr>
          <w:rFonts w:ascii="Georgia" w:hAnsi="Georgia" w:eastAsia="Georgia"/>
          <w:b w:val="0"/>
          <w:i w:val="0"/>
          <w:color w:val="000000"/>
          <w:sz w:val="22"/>
        </w:rPr>
        <w:t xml:space="preserve">. Therefore,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for future researchers to add Diatomaceous earth and neem tree extract and check the humidity. Extend data collection for 72 hours and 96 hours for future study.</w:t>
      </w:r>
    </w:p>
    <w:p>
      <w:pPr>
        <w:spacing w:before="0" w:after="80" w:line="240" w:lineRule="auto"/>
        <w:jc w:val="left"/>
      </w:pPr>
      <w:r>
        <w:rPr>
          <w:rFonts w:ascii="Georgia" w:hAnsi="Georgia" w:eastAsia="Georgia"/>
          <w:b/>
          <w:i w:val="0"/>
          <w:sz w:val="24"/>
        </w:rPr>
        <w:t>Aas10  ·  283 words  ·  2 hedges  ·  0.71 per 100 words</w:t>
      </w:r>
    </w:p>
    <w:p>
      <w:pPr>
        <w:spacing w:line="240" w:lineRule="auto" w:before="0" w:after="80"/>
        <w:jc w:val="both"/>
      </w:pPr>
      <w:r>
        <w:rPr>
          <w:rFonts w:ascii="Georgia" w:hAnsi="Georgia" w:eastAsia="Georgia"/>
          <w:b w:val="0"/>
          <w:i w:val="0"/>
          <w:color w:val="000000"/>
          <w:sz w:val="22"/>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alternative feed ration for rabbits without adverse effects, and considering that azolla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breeders to lessen the feed cost in production.</w:t>
      </w:r>
    </w:p>
    <w:p>
      <w:pPr>
        <w:spacing w:after="40" w:before="0"/>
        <w:sectPr>
          <w:headerReference w:type="default" r:id="rId24"/>
          <w:headerReference w:type="first" r:id="rId25"/>
          <w:pgSz w:w="11906" w:h="16838"/>
          <w:pgMar w:top="1440" w:right="1440" w:bottom="1440" w:left="2160" w:header="720" w:footer="720" w:gutter="0"/>
          <w:cols w:space="720"/>
          <w:titlePg/>
          <w:docGrid w:linePitch="360"/>
        </w:sectPr>
      </w:pP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p>
      <w:pPr>
        <w:spacing w:before="0" w:after="40" w:line="240" w:lineRule="auto"/>
      </w:pPr>
      <w:r>
        <w:rPr>
          <w:rFonts w:ascii="Georgia" w:hAnsi="Georgia" w:eastAsia="Georgia"/>
          <w:b w:val="0"/>
          <w:i w:val="0"/>
          <w:sz w:val="22"/>
        </w:rPr>
      </w:r>
    </w:p>
    <w:sectPr w:rsidR="00FC693F" w:rsidRPr="0006063C" w:rsidSect="00034616">
      <w:headerReference w:type="default" r:id="rId26"/>
      <w:headerReference w:type="first" r:id="rId27"/>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