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so the cross-tab does not differentiate functions; RQ4 is answered from frequency and functional patterns as a whole, not from type-by-function variation.</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For writing instructors and thesis advisers at PSAU, the study provides an empirical baseline of how uncertainty is managed in the ratified abstracts of three applied life sciences programs. That baseline can support more targeted feedback than generic advice to “be cautious.”</w:t>
      </w:r>
      <w:r>
        <w:rPr>
          <w:b w:val="0"/>
          <w:bCs w:val="0"/>
          <w:rtl w:val="0"/>
        </w:rPr>
        <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A pilot test was conducted on 4 abstracts not included in the final corpus to refine the coding scheme and establish decision rules for ambiguous cases (see Appendix A).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Under the Working Test, only tokens that produced an epistemic effect were retained as hedges. As a direct consequence of that screen, all 65 retained tokens were coded Epistemic Caution (EC). No instances of Politeness/Deference (P) or Discourse Organization (DO) were identified among coded hedges. Discourse connectors such as Hence, Thus, Therefore, and In conclusion appear in the corpus and are tagged (DO) in Appendix C; they organize research moves but do not qualify claims, so they are not counted as hedges. No politeness/deference devices were found. Table 5 presents the function distribution among tokens coded as hedges.</w:t>
      </w:r>
      <w:r>
        <w:rPr>
          <w:rFonts w:ascii="Georgia" w:cs="Georgia" w:eastAsia="Georgia" w:hAnsi="Georgia"/>
          <w:b w:val="0"/>
          <w:bCs w:val="0"/>
          <w:i w:val="0"/>
          <w:iCs w:val="0"/>
          <w:sz w:val="22"/>
          <w:szCs w:val="22"/>
          <w:rtl w:val="0"/>
          <w:color w:val="00B0F0"/>
        </w:rPr>
        <w:t/>
      </w:r>
      <w:r>
        <w:rPr>
          <w:rFonts w:ascii="Georgia" w:cs="Georgia" w:eastAsia="Georgia" w:hAnsi="Georgia"/>
          <w:b w:val="0"/>
          <w:bCs w:val="0"/>
          <w:i w:val="0"/>
          <w:iCs w:val="0"/>
          <w:sz w:val="22"/>
          <w:szCs w:val="22"/>
          <w:rtl w:val="0"/>
        </w:rPr>
        <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Parts I through III show three observable patterns in the ratified abstracts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Three observations support a descriptive label of pro forma hedging, not a confirmed construct: (1) potential accounts for a large share of lexical hedges and recurs in near-identical frames (Part I); (2) all retained hedges serve a single function under the Working Test (Part III); (3) 25 of 60 abstracts contain no coded hedges (Part II). These tokens are counted as hedges by form, position, and Working Test. “Pro forma” describes how the retained tokens behave in this corpus (formulaic frames, single function, limited commitment calibration). It does not claim that zero-hedge abstracts themselves demonstrate non-calibration, nor that the tokens fail the Working Test or should be excluded from density. When hedging appears, it often looks formulaic—a limited set of frames and one function—rather than finely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Disciplinary differentiation is present but uneven. Veterinary Medicine’s sparse, assertive profile is the clearest contrast. Agriculture’s edge over Biology is modest and outlier-sensitive. The patterns are consistent with field-specific epistemic demands (Salager-Meyer, 1994) in these ratified abstracts,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w:t>
      </w:r>
      <w:r>
        <w:rPr>
          <w:rFonts w:ascii="Georgia" w:cs="Georgia" w:eastAsia="Georgia" w:hAnsi="Georgia"/>
          <w:b w:val="0"/>
          <w:bCs w:val="0"/>
          <w:i w:val="0"/>
          <w:iCs w:val="0"/>
          <w:sz w:val="22"/>
          <w:szCs w:val="22"/>
          <w:rtl w:val="0"/>
        </w:rPr>
        <w:t xml:space="preserve">(DO)</w:t>
      </w:r>
      <w:r>
        <w:rPr>
          <w:rFonts w:ascii="Georgia" w:cs="Georgia" w:eastAsia="Georgia" w:hAnsi="Georgia"/>
          <w:b w:val="0"/>
          <w:bCs w:val="0"/>
          <w:i w:val="0"/>
          <w:iCs w:val="0"/>
          <w:sz w:val="22"/>
          <w:szCs w:val="22"/>
          <w:rtl w:val="0"/>
        </w:rPr>
        <w:t xml:space="preserve">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