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 xml:space="preserve">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among developing researchers?</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 xml:space="preserve">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 xml:space="preserve">For writing instructors and thesis advisers at PSAU,</w:t>
      </w:r>
      <w:r>
        <w:rPr>
          <w:b w:val="0"/>
          <w:bCs w:val="0"/>
          <w:rtl w:val="0"/>
        </w:rPr>
        <w:t xml:space="preserve"> the study provides an empirical baseline of how developing researchers in three applied life sciences programs currently manage uncertainty in abstracts. That baseline can support more targeted feedback than generic advice to “be cautious.”</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 xml:space="preserve">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booster count was performed only on the 28 zero-hedge abstracts to check whether the absence of hedges coincided with assertive language; a full booster analysis across the corpus was not undertaken.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Pro Forma Hedging, </w:t>
      </w:r>
      <w:r>
        <w:rPr>
          <w:rFonts w:ascii="Georgia" w:cs="Georgia" w:eastAsia="Georgia" w:hAnsi="Georgia"/>
          <w:b w:val="0"/>
          <w:bCs w:val="0"/>
          <w:i w:val="0"/>
          <w:iCs w:val="0"/>
          <w:sz w:val="22"/>
          <w:szCs w:val="22"/>
          <w:rtl w:val="0"/>
        </w:rPr>
        <w:t xml:space="preserve">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 xml:space="preserve">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REVISIONS AND BORDERLINE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Structural position is used as a coding heuristic for these forms, but the Working Test takes priority when the two conflict: a token that changes epistemic commitment is coded as a Lexical hedge (EC) even in an introduction or rationale sentence.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12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 xml:space="preserve">Inclusion Criteria. </w:t>
      </w:r>
      <w:r>
        <w:rPr>
          <w:rFonts w:ascii="Georgia" w:cs="Georgia" w:eastAsia="Georgia" w:hAnsi="Georgia"/>
          <w:b w:val="0"/>
          <w:bCs w:val="0"/>
          <w:i w:val="0"/>
          <w:iCs w:val="0"/>
          <w:sz w:val="22"/>
          <w:szCs w:val="22"/>
          <w:rtl w:val="0"/>
        </w:rPr>
        <w:t xml:space="preserve">English-language undergraduate thesis abstracts; complete abstracts available in the PSAU library archives; clear disciplinary classification based on official degree program; thesis completion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completed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 xml:space="preserve">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35.0%</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36</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60.0%</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5.0%</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120" w:after="0" w:line="480" w:lineRule="auto"/>
        <w:ind w:firstLine="720"/>
        <w:jc w:val="both"/>
        <w:rPr/>
      </w:pPr>
      <w:r>
        <w:rPr>
          <w:rFonts w:ascii="Georgia" w:cs="Georgia" w:eastAsia="Georgia" w:hAnsi="Georgia"/>
          <w:b w:val="0"/>
          <w:bCs w:val="0"/>
          <w:i w:val="0"/>
          <w:iCs w:val="0"/>
          <w:sz w:val="22"/>
          <w:szCs w:val="22"/>
          <w:rtl w:val="0"/>
        </w:rPr>
        <w:t xml:space="preserve">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 xml:space="preserve">Within the lexical hedge category, the token “potential” accounted for 14 of the 36 lexical instances (38.9%), the single most frequent hedge token in the corpus. Other frequent lexical forms included “suggests” (7), “indicating” (6), and “suggesting” (3). Modal verbs were led by “can” (9), “could” (7), and “may” (6). Concordance of the 14 potential instances shows recurring frames such as “the potential of X as a Y,” “has potential as an X,” and “highlight their potential as X.” That recurrence supports reading many uses as learned formula rather than fully calibrated epistemic choice. Agriculture and Biology account for 11 of the 14 instances; Veterinary Medicine for 3.</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(53.8%)</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12 (46.2%)</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26</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(20.0%)</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17 (68.0%)</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(12.0%)</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(22.2%)</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7 (77.8%)</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9</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(35.0%)</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36 (60.0%)</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(5.0%)</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10A">
      <w:pPr>
        <w:spacing w:before="12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 xml:space="preserve">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 xml:space="preserve">Booster analysis of the 28 zero-hedge abstracts revealed 88 booster tokens, averaging approximately 3.1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26</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0.60</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35</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7</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0.55</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9</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13</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13</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0.18</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63</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0.43</w:t>
            </w:r>
            <w:r>
              <w:rPr>
                <w:rtl w:val="0"/>
                <w:sz w:val="18"/>
                <w:szCs w:val="18"/>
                <w:rFonts w:ascii="Georgia" w:hAnsi="Georgia"/>
              </w:rPr>
            </w:r>
          </w:p>
        </w:tc>
      </w:tr>
    </w:tbl>
    <w:p w:rsidR="00000000" w:rsidDel="00000000" w:rsidP="00000000" w:rsidRDefault="00000000" w:rsidRPr="00000000" w14:paraId="0000013F">
      <w:pPr>
        <w:spacing w:before="120" w:after="0" w:line="480" w:lineRule="auto"/>
        <w:ind w:firstLine="720"/>
        <w:jc w:val="both"/>
        <w:rPr/>
      </w:pPr>
      <w:r>
        <w:rPr>
          <w:rFonts w:ascii="Georgia" w:cs="Georgia" w:eastAsia="Georgia" w:hAnsi="Georgia"/>
          <w:b w:val="0"/>
          <w:bCs w:val="0"/>
          <w:i w:val="0"/>
          <w:iCs w:val="0"/>
          <w:sz w:val="22"/>
          <w:szCs w:val="22"/>
          <w:rtl w:val="0"/>
        </w:rPr>
        <w:t xml:space="preserve">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40% in Agriculture and 35% in Biology.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 xml:space="preserve">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5.91, p ≈ .052, suggesting a possible difference in the distribution of hedge counts across disciplines. Given the small sample size and zero-inflated distribution, this result should be treated as preliminary rather than as evidence of a significant disciplinary difference.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60 hedge tokens in the corpus served the function of Epistemic Caution (EC). No instances of Politeness/Deference (P) or Discourse Organization (DO) were identified. Table 5 presents the function distribution.</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 xml:space="preserve">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12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 xml:space="preserve">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IV: DISCIPLINE-SPECIFIC HEDGING PROFILES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 xml:space="preserve">Parts I through III show three observable patterns in this corpus. As reported in Part II, statistical support is borderline (Kruskal-Wallis p ≈ .052; chi-square on zero-hedge rates p = .13),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profile is less about sparse reporting than about a narrow set of lexical forms doing most of the work.</w:t>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 A pattern suggestive of assertive reporting.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The same categorical tone often extends to implications. The contrast with Agriculture and Biology is the clearest disciplinary difference in the corpus, though whether it reflects field norms, adviser expectations, or outcome type remains open.</w:t>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Across the three disciplines, Veterinary Medicine’s sparse, assertive profile is the most robust contrast in this corpus. The Agriculture–Biology difference is marginal and partly outlier-driven. Whether these patterns reflect internalized field norms or local supervisory practice cannot be settled from the texts alone.</w:t>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xml:space="preserve">Three observations support a descriptive label of pro forma hedging, not a confirmed construct: (1) potential accounts for a large share of lexical hedges and recurs in near-identical frames (Part I); (2) all retained hedges serve a single function (Part III); (3) nearly half of abstracts contain no hedges at all (Part II).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 xml:space="preserve">Lexical hedges outnumber modal verbs in this corpus, largely because of formulaic potential. Density is highest in Agriculture, then Biology, then Veterinary Medicine, with nearly half of abstracts containing no coded hedges. Every retained hedge was coded as Epistemic Caution.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 xml:space="preserve">Disciplinary differentiation is present but uneven. Veterinary Medicine’s sparse, assertive profile is the clearest contrast. Agriculture’s edge over Biology is modest and outlier-sensitive. The patterns are consistent with field-specific epistemic demands (Salager-Meyer, 1994) among developing writers, but statistical evidence is borderline (Kruskal-Wallis p ≈ .052) and the sample is small. The study provides a local baseline, not a general law.</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 xml:space="preserve">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Instruction should also distinguish topic-naming potential in aim statements from epistemic potential in conclusions, without treating hedging as a quota to fill.</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 xml:space="preserve">rEFLections, 32</w:t>
      </w:r>
      <w:r>
        <w:rPr>
          <w:rFonts w:ascii="Georgia" w:cs="Georgia" w:eastAsia="Georgia" w:hAnsi="Georgia"/>
          <w:b w:val="0"/>
          <w:bCs w:val="0"/>
          <w:i w:val="0"/>
          <w:iCs w:val="0"/>
          <w:sz w:val="22"/>
          <w:szCs w:val="22"/>
          <w:rtl w:val="0"/>
        </w:rPr>
        <w:t xml:space="preserve">(2), 951–970.</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 xml:space="preserve">https://doi.org/10.47772/IJRISS.2025.91100485</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left"/>
        <w:rPr/>
      </w:pPr>
      <w:r>
        <w:rPr>
          <w:rFonts w:ascii="Georgia" w:cs="Georgia" w:eastAsia="Georgia" w:hAnsi="Georgia"/>
          <w:b w:val="0"/>
          <w:bCs w:val="0"/>
          <w:sz w:val="22"/>
          <w:szCs w:val="22"/>
          <w:rtl w:val="0"/>
        </w:rPr>
        <w:t xml:space="preserve">This appendix is the full coding protocol used for the study. It opens with a one-page quick-reference, then gives the operational layers, decision rules, false-positive categories, and recording conventions.</w:t>
      </w:r>
      <w:r>
        <w:rPr>
          <w:rtl w:val="0"/>
        </w:rPr>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left"/>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left"/>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left"/>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left"/>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left"/>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left"/>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left"/>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left"/>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left"/>
        <w:rPr/>
      </w:pPr>
      <w:r>
        <w:rPr>
          <w:rFonts w:ascii="Cardo" w:cs="Cardo" w:eastAsia="Cardo" w:hAnsi="Cardo"/>
          <w:b w:val="0"/>
          <w:bCs w:val="0"/>
          <w:sz w:val="22"/>
          <w:szCs w:val="22"/>
          <w:rtl w:val="0"/>
        </w:rPr>
        <w:t xml:space="preserve">suggest / indicate → hedge when introducing a finding; not a hedge when introducing a recommendation.</w:t>
      </w:r>
      <w:r>
        <w:rPr>
          <w:rtl w:val="0"/>
        </w:rPr>
      </w:r>
    </w:p>
    <w:p w:rsidR="00000000" w:rsidDel="00000000" w:rsidP="00000000" w:rsidRDefault="00000000" w:rsidRPr="00000000" w14:paraId="000001AF">
      <w:pPr>
        <w:spacing w:before="0" w:after="0" w:line="240" w:lineRule="auto"/>
        <w:ind w:left="240" w:firstLine="720"/>
        <w:jc w:val="left"/>
        <w:rPr/>
      </w:pPr>
      <w:r>
        <w:rPr>
          <w:rFonts w:ascii="Cardo" w:cs="Cardo" w:eastAsia="Cardo" w:hAnsi="Cardo"/>
          <w:b w:val="0"/>
          <w:bCs w:val="0"/>
          <w:sz w:val="22"/>
          <w:szCs w:val="22"/>
          <w:rtl w:val="0"/>
        </w:rPr>
        <w:t xml:space="preserve">can / may → hedge when marking possibility; not a hedge when marking capability.</w:t>
      </w:r>
      <w:r>
        <w:rPr>
          <w:rtl w:val="0"/>
        </w:rPr>
      </w:r>
    </w:p>
    <w:p w:rsidR="00000000" w:rsidDel="00000000" w:rsidP="00000000" w:rsidRDefault="00000000" w:rsidRPr="00000000" w14:paraId="000001B0">
      <w:pPr>
        <w:spacing w:before="0" w:after="0" w:line="240" w:lineRule="auto"/>
        <w:ind w:left="240" w:firstLine="720"/>
        <w:jc w:val="left"/>
        <w:rPr/>
      </w:pPr>
      <w:r>
        <w:rPr>
          <w:rFonts w:ascii="Cardo" w:cs="Cardo" w:eastAsia="Cardo" w:hAnsi="Cardo"/>
          <w:b w:val="0"/>
          <w:bCs w:val="0"/>
          <w:sz w:val="22"/>
          <w:szCs w:val="22"/>
          <w:rtl w:val="0"/>
        </w:rPr>
        <w:t xml:space="preserve">generally / typically → hedge when limiting the scope of a claim; not a hedge when describing a procedural norm.</w:t>
      </w:r>
      <w:r>
        <w:rPr>
          <w:rtl w:val="0"/>
        </w:rPr>
      </w:r>
    </w:p>
    <w:p w:rsidR="00000000" w:rsidDel="00000000" w:rsidP="00000000" w:rsidRDefault="00000000" w:rsidRPr="00000000" w14:paraId="000001B1">
      <w:pPr>
        <w:spacing w:before="0" w:after="0" w:line="240" w:lineRule="auto"/>
        <w:ind w:left="240" w:firstLine="0"/>
        <w:jc w:val="left"/>
        <w:rPr/>
      </w:pPr>
      <w:r>
        <w:rPr>
          <w:rFonts w:ascii="Cardo" w:cs="Cardo" w:eastAsia="Cardo" w:hAnsi="Cardo"/>
          <w:b w:val="0"/>
          <w:bCs w:val="0"/>
          <w:sz w:val="22"/>
          <w:szCs w:val="22"/>
          <w:rtl w:val="0"/>
        </w:rPr>
        <w:t xml:space="preserve">appear / seem → hedge when expressing uncertainty about a result; not a hedge when pointing to location in a table or text.</w:t>
      </w:r>
      <w:r>
        <w:rPr>
          <w:rtl w:val="0"/>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left"/>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left"/>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left"/>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left"/>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left"/>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left"/>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left"/>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left"/>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left"/>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left"/>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left"/>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left"/>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left"/>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left"/>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left"/>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left"/>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left"/>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left"/>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12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color w:val="000000"/>
          <w:sz w:val="22"/>
          <w:szCs w:val="22"/>
          <w:rtl w:val="0"/>
        </w:rPr>
        <w:t xml:space="preserve">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 Prefer the Working Test over structural position when the two conflict: if removing the token changes the writer’s commitment to a proposition, code it as a Lexical hedge (EC) even in an introduction or rationale sentence.</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left"/>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left"/>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left"/>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left"/>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left"/>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left"/>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left"/>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left"/>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left"/>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left"/>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left"/>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left"/>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left"/>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12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left"/>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left"/>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left"/>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left"/>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left"/>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left"/>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left"/>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left"/>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left"/>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left"/>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left"/>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left"/>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left"/>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left"/>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left"/>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left"/>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left"/>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left"/>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left"/>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left"/>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left"/>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left"/>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left"/>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left"/>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left"/>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left"/>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left"/>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12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left"/>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left"/>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left"/>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left"/>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left"/>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left"/>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left"/>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left"/>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left"/>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left"/>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left"/>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left"/>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left"/>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left"/>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left"/>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left"/>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left"/>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left"/>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left"/>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left"/>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left"/>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left"/>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left"/>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left"/>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left"/>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left"/>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left"/>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left"/>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left"/>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left"/>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left"/>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33">
      <w:pPr>
        <w:keepNext w:val="1"/>
        <w:spacing w:before="120" w:after="0" w:line="480"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left"/>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left"/>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left"/>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left"/>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left"/>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left"/>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left"/>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left"/>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left"/>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12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strike w:val="0"/>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cs="Georgia" w:eastAsia="Georgia" w:hAnsi="Georgia"/>
          <w:b w:val="0"/>
          <w:bCs w:val="0"/>
          <w:i w:val="0"/>
          <w:iCs w:val="0"/>
          <w:color w:val="000000"/>
          <w:sz w:val="22"/>
          <w:szCs w:val="22"/>
          <w:rtl w:val="0"/>
        </w:rPr>
        <w:t xml:space="preserve"> that C. longa extracts are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(FP-Gen)</w:t>
      </w:r>
      <w:r>
        <w:rPr>
          <w:rFonts w:ascii="Georgia" w:cs="Georgia" w:eastAsia="Georgia" w:hAnsi="Georgia"/>
          <w:b w:val="0"/>
          <w:bCs w:val="0"/>
          <w:i w:val="0"/>
          <w:iCs w:val="0"/>
          <w:color w:val="000000"/>
          <w:sz w:val="22"/>
          <w:szCs w:val="22"/>
          <w:rtl w:val="0"/>
        </w:rPr>
        <w:t xml:space="preserve"> alternative stains. PCR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60" w:lineRule="auto"/>
        <w:ind w:firstLine="720"/>
        <w:jc w:val="both"/>
        <w:rPr/>
      </w:pPr>
      <w:r>
        <w:rPr>
          <w:i w:val="1"/>
          <w:iCs w:val="1"/>
          <w:color w:val="404040"/>
          <w:rtl w:val="0"/>
        </w:rPr>
        <w:t xml:space="preserve">R</w:t>
      </w:r>
      <w:r>
        <w:rPr>
          <w:rFonts w:ascii="Georgia" w:cs="Georgia" w:eastAsia="Georgia" w:hAnsi="Georgia"/>
          <w:b w:val="0"/>
          <w:bCs w:val="0"/>
          <w:i w:val="1"/>
          <w:iCs w:val="1"/>
          <w:color w:val="404040"/>
          <w:sz w:val="22"/>
          <w:szCs w:val="22"/>
          <w:rtl w:val="0"/>
        </w:rPr>
        <w:t xml:space="preserve">ed highlights mark type. Orange text marks function. The strikethrough marks a rejected candidate. Grey highlight marks an unhedged site. Here, “potential” is struck because it names a research property, not a hedge on the claim.</w:t>
      </w:r>
      <w:r>
        <w:rPr>
          <w:rtl w:val="0"/>
        </w:rPr>
      </w:r>
    </w:p>
    <w:p w:rsidR="00000000" w:rsidDel="00000000" w:rsidP="00000000" w:rsidRDefault="00000000" w:rsidRPr="00000000" w14:paraId="00000247">
      <w:pPr>
        <w:keepNext w:val="1"/>
        <w:spacing w:before="120" w:after="0" w:line="360"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left"/>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left"/>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left"/>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left"/>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left"/>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left"/>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left"/>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left"/>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12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A10 and Aas1 to A10 (Agriculture), VM1 to VM20 (Veterinary Medicine), B1 to B20 (Biology).</w:t>
      </w:r>
      <w:r>
        <w:rPr>
          <w:rtl w:val="0"/>
        </w:rPr>
      </w:r>
    </w:p>
    <w:p w:rsidR="00000000" w:rsidDel="00000000" w:rsidP="00000000" w:rsidRDefault="00000000" w:rsidRPr="00000000" w14:paraId="0000025D">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60"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left"/>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left"/>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left"/>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left"/>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left"/>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left"/>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12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left"/>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left"/>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left"/>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left"/>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left"/>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left"/>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 xml:space="preserve">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0 hedges  ·  0.0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cs="Georgia" w:eastAsia="Georgia" w:hAnsi="Georgia"/>
          <w:b w:val="1"/>
          <w:bCs w:val="1"/>
          <w:strike w:val="0"/>
          <w:color w:val="000000"/>
          <w:sz w:val="22"/>
          <w:szCs w:val="22"/>
          <w:shd w:fill="bfbfbf" w:val="clear"/>
          <w:rtl w:val="0"/>
        </w:rPr>
        <w:t xml:space="preserve">revealed the presence of acid-fast bacteria in the tissues of infected milkfish, confirming the occurrence of mycobacteriosis infection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cs="Georgia" w:eastAsia="Georgia" w:hAnsi="Georgia"/>
          <w:b w:val="1"/>
          <w:bCs w:val="1"/>
          <w:strike w:val="0"/>
          <w:color w:val="000000"/>
          <w:sz w:val="22"/>
          <w:szCs w:val="22"/>
          <w:shd w:fill="bfbfbf" w:val="clear"/>
          <w:rtl w:val="0"/>
        </w:rPr>
        <w:t xml:space="preserve">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offering insights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guide effective management strategies to control the spread of this disease in aquaculture system.</w:t>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0 hedges  ·  0.0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cs="Georgia" w:eastAsia="Georgia" w:hAnsi="Georgia"/>
          <w:b w:val="1"/>
          <w:bCs w:val="1"/>
          <w:strike w:val="0"/>
          <w:color w:val="000000"/>
          <w:sz w:val="22"/>
          <w:szCs w:val="22"/>
          <w:shd w:fill="bfbfbf" w:val="clear"/>
          <w:rtl w:val="0"/>
        </w:rPr>
        <w:t xml:space="preserve">Nine out of ten isolates exhibit quorum quenching activities by inhibiting the swarming motility of Pseudomonas aeruginosa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metabolic compounds of the isolates were subjected to initial characterization using enzyme and pH neutralization, which revealed that organic acids were responsible for the inhibitory activity. </w:t>
      </w:r>
      <w:r>
        <w:rPr>
          <w:rFonts w:ascii="Georgia" w:cs="Georgia" w:eastAsia="Georgia" w:hAnsi="Georgia"/>
          <w:b w:val="1"/>
          <w:bCs w:val="1"/>
          <w:strike w:val="0"/>
          <w:color w:val="000000"/>
          <w:sz w:val="22"/>
          <w:szCs w:val="22"/>
          <w:shd w:fill="bfbfbf" w:val="clear"/>
          <w:rtl w:val="0"/>
        </w:rPr>
        <w:t xml:space="preserve">The inhibition activity of LAB isolates against the quorum sensing-mediated swarming motility in P. aeruginosa was due to strong antibacterial activity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4 hedges  ·  1.79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severe pathogen that has developed resistance to several types of antibiotics. MRSA bacteria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long on surfaces and objects, including second-hand clothing (SHC). The increasing popularity of SHC or “ukay-ukay” in the Philippines, coupled with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public health risks associated with the handling and purchasing of second-hand clothing. This study, therefore, underscores the need for proper precautions to mitigate the spread of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harmful bacteria, including MRSA, on second-hand clothing. It highlights the importance of raising awareness among both vendors and consumers about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health risks associated with these garments.</w:t>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0 hedges  ·  0.0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cs="Georgia" w:eastAsia="Georgia" w:hAnsi="Georgia"/>
          <w:b w:val="1"/>
          <w:bCs w:val="1"/>
          <w:strike w:val="0"/>
          <w:color w:val="000000"/>
          <w:sz w:val="22"/>
          <w:szCs w:val="22"/>
          <w:shd w:fill="bfbfbf" w:val="clear"/>
          <w:rtl w:val="0"/>
        </w:rPr>
        <w:t xml:space="preserve">A total of 181 microplastics were detected across all samples, wherein the concentration of microplastics was higher in Treatment 1</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cs="Georgia" w:eastAsia="Georgia" w:hAnsi="Georgia"/>
          <w:b w:val="1"/>
          <w:bCs w:val="1"/>
          <w:strike w:val="1"/>
          <w:color w:val="000000"/>
          <w:sz w:val="22"/>
          <w:szCs w:val="22"/>
          <w:rtl w:val="0"/>
        </w:rPr>
        <w:t xml:space="preserve">recommend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removing the shrimp’s GIT during preparation to avoid ingestion, use fishing gear made from durable or natural materials, regularly maintain and replace worn equipment, and properly dispose of plastics instead of discarding them into water bodies.</w:t>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Magalang.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1 hedges  ·  0.32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drive animal production systems to find new sources of high-quality and sustainable protein feed raw materials. Fortunately, insect farming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seen as a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cs="Georgia" w:eastAsia="Georgia" w:hAnsi="Georgia"/>
          <w:b w:val="1"/>
          <w:bCs w:val="1"/>
          <w:strike w:val="0"/>
          <w:color w:val="000000"/>
          <w:sz w:val="22"/>
          <w:szCs w:val="22"/>
          <w:shd w:fill="bfbfbf" w:val="clear"/>
          <w:rtl w:val="0"/>
        </w:rPr>
        <w:t xml:space="preserve">The results disclosed that the percentage of mortality and moisture content were statistically significant at 1% (P&lt;0.01) and (P&lt;0.05) level with 48 hours after the post-treatment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mortality rate and moisture content were not significant after 6 hours and 24 hours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Therefore,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