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In molecular biology research articles, Hyland (1996) further showed that hedges help writers express claims with precision, caution, and deference to colleagues in a life-science research community.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 xml:space="preserve">Developing researchers tend to underuse hedges and rely on a narrow set of devices (Khunasathitchai et al., 2025, Suratno &amp; Aydawati, 2025, Ghia et al., 2022, and Mazidah et al., 2022).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Ghia et al. (2022) analyzed 217 English thesis abstracts by advanced Italian EFL undergraduates and found fewer hedges than L1-English peers in MICUSP, with more reliance on boosters and certainty-oriented modals. Mazidah et al. (2022) compared undergraduate thesis abstracts in English education and mathematics at an Indonesian university and found that English majors used more hedges while mathematics majors used more boosters.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Souici and Slougui (2022) examined biology research articles by Algerian authors and found that non-factive reporting verbs were the most prominent hedge type, a pattern consistent with claim support in life-science writing. Hamidi et al. (2025) found clinical science papers used slightly more hedges than basic science papers within medicine, though without statistical significance (p = .064).</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4"/>
          <w:szCs w:val="24"/>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Hu and Cao (2011) compared applied linguistics article abstracts in English-medium and Chinese-medium journals and found markedly more hedges in the English-medium abstracts, a pattern they link to culturally preferred rhetorical strategies and publication context. Petchkij (2019) showed that explicit instruction can raise both frequency and variety among Thai health-science undergraduates, though modal preference persisted even after training.</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Xie and Mi (2023) examined promotion and caution across a large abstract corpus and reported that hedge words were more frequent in soft sciences and higher-ranking journals, while positive promotional wording was more common in hard sciences.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Hyland, 1996, and Souici &amp; Slougui, 2022).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pPr>
        <w:spacing w:before="0" w:after="0" w:line="480" w:lineRule="auto"/>
        <w:ind w:left="720" w:hanging="720"/>
        <w:jc w:val="left"/>
        <w:rPr/>
      </w:pPr>
      <w:r>
        <w:rPr>
          <w:rFonts w:ascii="Georgia" w:hAnsi="Georgia" w:cs="Georgia" w:eastAsia="Georgia"/>
          <w:sz w:val="24"/>
          <w:szCs w:val="24"/>
        </w:rPr>
        <w:t xml:space="preserve">Ghia, E., Petrocelli, E., &amp; Pizziconi, S. (2022). Data possibly suggest… Hedging in second language writing: A study on advanced Italian EFL learners. Belgrade English Language and Literature Studies, 14,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pPr>
        <w:spacing w:before="0" w:after="0" w:line="480" w:lineRule="auto"/>
        <w:ind w:left="720" w:hanging="720"/>
        <w:jc w:val="left"/>
        <w:rPr/>
      </w:pPr>
      <w:r>
        <w:rPr>
          <w:rFonts w:ascii="Georgia" w:hAnsi="Georgia" w:cs="Georgia" w:eastAsia="Georgia"/>
          <w:sz w:val="24"/>
          <w:szCs w:val="24"/>
        </w:rPr>
        <w:t xml:space="preserve">Hu, G., &amp; Cao, F. (2011). Hedging and boosting in abstracts of applied linguistics articles: A comparative study of English- and Chinese-medium journals. Journal of Pragmatics, 43(11), 2795–2809. https://doi.org/10.1016/j.pragma.2011.04.007</w:t>
      </w:r>
    </w:p>
    <w:p>
      <w:pPr>
        <w:spacing w:before="0" w:after="0" w:line="480" w:lineRule="auto"/>
        <w:ind w:left="720" w:hanging="720"/>
        <w:jc w:val="left"/>
        <w:rPr/>
      </w:pPr>
      <w:r>
        <w:rPr>
          <w:rFonts w:ascii="Georgia" w:hAnsi="Georgia" w:cs="Georgia" w:eastAsia="Georgia"/>
          <w:sz w:val="24"/>
          <w:szCs w:val="24"/>
        </w:rPr>
        <w:t xml:space="preserve">Hyland, K. (1996). Writing without conviction? Hedging in science research articles. Applied Linguistics, 17(4),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pPr>
        <w:spacing w:before="0" w:after="0" w:line="480" w:lineRule="auto"/>
        <w:ind w:left="720" w:hanging="720"/>
        <w:jc w:val="left"/>
        <w:rPr/>
      </w:pPr>
      <w:r>
        <w:rPr>
          <w:rFonts w:ascii="Georgia" w:hAnsi="Georgia" w:cs="Georgia" w:eastAsia="Georgia"/>
          <w:sz w:val="24"/>
          <w:szCs w:val="24"/>
        </w:rPr>
        <w:t xml:space="preserve">Mazidah, E. N., Cahyani, W. I., &amp; Masruroh, L. (2022). Hedges and boosters in undergraduate thesis abstracts of Qomaruddin University students. Journal of Education, Humaniora and Social Sciences (JEHSS), 4(3),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pPr>
        <w:spacing w:before="0" w:after="0" w:line="480" w:lineRule="auto"/>
        <w:ind w:left="720" w:hanging="720"/>
        <w:jc w:val="left"/>
        <w:rPr/>
      </w:pPr>
      <w:r>
        <w:rPr>
          <w:rFonts w:ascii="Georgia" w:hAnsi="Georgia" w:cs="Georgia" w:eastAsia="Georgia"/>
          <w:sz w:val="24"/>
          <w:szCs w:val="24"/>
        </w:rPr>
        <w:t xml:space="preserve">Souici, F., &amp; Slougui, D. (2022). Hedges in biology research articles: What types and frequency do Algerian authors use? Journal of Human Sciences, 33(4),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pPr>
        <w:spacing w:before="0" w:after="0" w:line="480" w:lineRule="auto"/>
        <w:ind w:left="720" w:hanging="720"/>
        <w:jc w:val="left"/>
        <w:rPr/>
      </w:pPr>
      <w:r>
        <w:rPr>
          <w:rFonts w:ascii="Georgia" w:hAnsi="Georgia" w:cs="Georgia" w:eastAsia="Georgia"/>
          <w:sz w:val="24"/>
          <w:szCs w:val="24"/>
        </w:rPr>
        <w:t xml:space="preserve">Xie, S., &amp; Mi, C. (2023). Promotion and caution in research article abstracts: The use of positive, negative and hedge words across disciplines and rankings. Learned Publishing, 36(2),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