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val="1"/>
          <w:tblHeader w:val="0"/>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the coding retained 65 hedge tokens, or about 1.08 hedges per abstract. That rate is lower than the 2.04 hedges per abstract Hu and Cao (2011) reported for English-medium applied-linguistics journal abstracts, though the fields and the writers are not the same. The comparison is useful only as a rough external benchmark: it situates this undergraduate life-science sample as leaner in hedge use than that published linguistics baseline,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eastAsia="Georgia"/>
          <w:sz w:val="22"/>
        </w:rPr>
        <w:t>Lexical hedges account for most of the inventory (42 of 65 tokens). Modal verbs follow with 20 tokens. Adverbial hedges are rare (3 tokens, all potentially, and all in Biology). Clause-level hedges do not appear at all. Within the lexical set, potential is the single most frequent form (19 instances), followed by the suggest family (suggest / suggests / suggesting, 13 instances). Modal use is concentrated in can, could, may, and might, with Agriculture supplying most of the can tokens.</w:t>
      </w:r>
    </w:p>
    <w:p>
      <w:pPr>
        <w:spacing w:line="480" w:lineRule="auto" w:before="0" w:after="0"/>
        <w:ind w:firstLine="720"/>
        <w:jc w:val="both"/>
      </w:pPr>
      <w:r>
        <w:rPr>
          <w:rFonts w:ascii="Georgia" w:hAnsi="Georgia" w:eastAsia="Georgia"/>
          <w:sz w:val="22"/>
        </w:rPr>
        <w:t>The three programs do not share the same type mix. Agriculture is nearly balanced between modal verbs (13) and lexical hedges (14). Biology is strongly lexical (20 of 28 tokens), with only five modal verbs. Veterinary Medicine’s total is small (10 tokens) and also mainly lexical (8), with only two modal verbs. In short, the formal repertoire is narrow corpus-wide, and the main cross-program difference at this level is how much of that small repertoire is modal rather than lexical, not whether writers draw on a wide set of hedge types.</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foreground—first-person forms such as I think or in our view, and more impersonal ones such as it seems that—are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Times New Roman" w:hAnsi="Times New Roman" w:eastAsia="Times New Roman" w:cs="Times New Roman"/>
          <w:b w:val="0"/>
          <w:sz w:val="22"/>
        </w:rPr>
        <w:t>Cross-disciplinary comparison shows differences in hedge density, driven mainly by Veterinary Medicine’s lower rate. Table 4 presents the hedge counts, false positives, unhedged claims, and normalized frequency (hedges per 100 words) for each discipline.</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240" w:line="480" w:lineRule="auto"/>
        <w:ind w:firstLine="720"/>
        <w:jc w:val="both"/>
        <w:rPr/>
      </w:pPr>
      <w:r>
        <w:rPr>
          <w:rFonts w:ascii="Times New Roman" w:hAnsi="Times New Roman" w:eastAsia="Times New Roman" w:cs="Times New Roman"/>
          <w:b w:val="0"/>
          <w:sz w:val="22"/>
        </w:rPr>
        <w:t>Table 4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pPr>
        <w:spacing w:line="480" w:lineRule="auto" w:before="0" w:after="0"/>
        <w:ind w:firstLine="720"/>
        <w:jc w:val="both"/>
      </w:pPr>
      <w:r>
        <w:rPr>
          <w:rFonts w:ascii="Georgia" w:hAnsi="Georgia" w:eastAsia="Georgia"/>
          <w:sz w:val="22"/>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pPr>
        <w:spacing w:line="480" w:lineRule="auto" w:before="0" w:after="0"/>
        <w:ind w:firstLine="720"/>
        <w:jc w:val="both"/>
      </w:pPr>
      <w:r>
        <w:rPr>
          <w:rFonts w:ascii="Georgia" w:hAnsi="Georgia" w:eastAsia="Georgia"/>
          <w:sz w:val="22"/>
        </w:rPr>
        <w:t>Table 4 also records 14 unhedged claims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warranted, not how many assertion slots exist in the corpus.</w:t>
      </w:r>
    </w:p>
    <w:p w:rsidR="00000000" w:rsidDel="00000000" w:rsidP="00000000" w:rsidRDefault="00000000" w:rsidRPr="00000000" w14:paraId="0000015D">
      <w:pPr>
        <w:spacing w:after="0" w:before="0" w:line="480" w:lineRule="auto"/>
        <w:ind w:firstLine="720"/>
        <w:jc w:val="both"/>
        <w:rPr/>
      </w:pPr>
      <w:r>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Pr>
          <w:rFonts w:ascii="Georgia" w:hAnsi="Georgia" w:eastAsia="Georgia"/>
          <w:sz w:val="22"/>
        </w:rPr>
        <w:t>Veterinary Medicine's low density is more difficult to interpret. Many VM abstracts in this corpus reported clinical findings from animal studies (e.g., drug efficacy trials, disease detection, hematological profiling). Biology abstracts with binary results still hedge more than VM binary abstracts under the same broad outcome class.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Pr>
          <w:rtl w:val="0"/>
        </w:rPr>
        <w:t xml:space="preserve">The false positive distribution also varies by discipline. Biology produced 34 false positives, far more than Agriculture (17) or Veterinary Medicine (14). This is partly because Biology abstracts contain more instances of “</w:t>
      </w:r>
      <w:r>
        <w:rPr>
          <w:i w:val="1"/>
          <w:iCs w:val="1"/>
          <w:rtl w:val="0"/>
        </w:rPr>
        <w:t xml:space="preserve">potential</w:t>
      </w:r>
      <w:r>
        <w:rPr>
          <w:rtl w:val="0"/>
        </w:rPr>
        <w:t xml:space="preserve">” in aim statements and “</w:t>
      </w:r>
      <w:r>
        <w:rPr>
          <w:i w:val="1"/>
          <w:iCs w:val="1"/>
          <w:rtl w:val="0"/>
        </w:rPr>
        <w:t xml:space="preserve">indicated by</w:t>
      </w:r>
      <w:r>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Table 5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 The false-positive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63">
      <w:pPr>
        <w:keepNext w:val="1"/>
        <w:spacing w:after="0" w:before="720" w:line="480" w:lineRule="auto"/>
        <w:ind w:firstLine="0"/>
        <w:jc w:val="center"/>
        <w:rPr/>
      </w:pPr>
      <w:r>
        <w:rPr>
          <w:rFonts w:ascii="Georgia" w:hAnsi="Georgia" w:eastAsia="Georgia" w:cs="Georgia"/>
          <w:b/>
          <w:sz w:val="24"/>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val="1"/>
          <w:tblHeader w:val="1"/>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val="1"/>
          <w:tblHeader w:val="0"/>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val="1"/>
          <w:tblHeader w:val="0"/>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val="1"/>
          <w:tblHeader w:val="0"/>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val="1"/>
          <w:tblHeader w:val="0"/>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240" w:line="480" w:lineRule="auto"/>
        <w:ind w:firstLine="720"/>
        <w:jc w:val="both"/>
        <w:rPr/>
      </w:pPr>
      <w:r>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ind w:firstLine="0"/>
        <w:jc w:val="center"/>
        <w:rPr/>
      </w:pPr>
      <w:r>
        <w:rPr>
          <w:rFonts w:ascii="Georgia" w:hAnsi="Georgia" w:eastAsia="Georgia" w:cs="Georgia"/>
          <w:b/>
          <w:sz w:val="24"/>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val="1"/>
          <w:tblHeader w:val="0"/>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Pr>
          <w:rFonts w:ascii="Times New Roman" w:hAnsi="Times New Roman" w:eastAsia="Times New Roman" w:cs="Times New Roman"/>
          <w:b w:val="0"/>
          <w:sz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6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Pr>
          <w:rFonts w:ascii="Times New Roman" w:hAnsi="Times New Roman" w:eastAsia="Times New Roman" w:cs="Times New Roman"/>
          <w:b w:val="0"/>
          <w:sz w:val="22"/>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claims were 4 in Veterinary Medicine, 4 in Biology, and 6 in Agriculture (Table 4),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