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retained at Stage 1, what rhetorical functions (EC, P, DO)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the writer's claim or positioning more categorical, more direct, or more imposing in context. That gate admits epistemic, politeness, and discourse-managing mitigation.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only to support an epistemically focused identification screen.</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b w:val="1"/>
          <w:bCs w:val="1"/>
          <w:rtl w:val="0"/>
        </w:rPr>
        <w:t xml:space="preserve">For writing instructors and thesis advisers at PSAU, </w:t>
      </w:r>
      <w:r>
        <w:rPr>
          <w:rFonts w:ascii="Georgia" w:hAnsi="Georgia" w:cs="Georgia" w:eastAsia="Georgia"/>
          <w:b w:val="0"/>
          <w:bCs w:val="0"/>
          <w:rtl w:val="0"/>
        </w:rPr>
        <w:t xml:space="preserve">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b w:val="1"/>
          <w:bCs w:val="1"/>
          <w:rtl w:val="0"/>
        </w:rPr>
        <w:t xml:space="preserve">For academic writing researchers, </w:t>
      </w:r>
      <w:r>
        <w:rPr>
          <w:rFonts w:ascii="Georgia" w:hAnsi="Georgia" w:cs="Georgia" w:eastAsia="Georgia"/>
          <w:b w:val="0"/>
          <w:bCs w:val="0"/>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b w:val="1"/>
          <w:bCs w:val="1"/>
          <w:rtl w:val="0"/>
        </w:rPr>
        <w:t xml:space="preserve">For the BAELS program, </w:t>
      </w:r>
      <w:r>
        <w:rPr>
          <w:rFonts w:ascii="Georgia" w:hAnsi="Georgia" w:cs="Georgia" w:eastAsia="Georgia"/>
          <w:b w:val="0"/>
          <w:bCs w:val="0"/>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b w:val="1"/>
          <w:bCs w:val="1"/>
          <w:rtl w:val="0"/>
        </w:rPr>
        <w:t xml:space="preserve">For future researchers, </w:t>
      </w:r>
      <w:r>
        <w:rPr>
          <w:rFonts w:ascii="Georgia" w:hAnsi="Georgia" w:cs="Georgia" w:eastAsia="Georgia"/>
          <w:b w:val="0"/>
          <w:bCs w:val="0"/>
          <w:rtl w:val="0"/>
        </w:rPr>
        <w:t xml:space="preserve">the sampling design, coding decision rules, and false-positive log offer a replicable protocol for similar corpus studies.</w:t>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also code mitigation more broadly, without the epistemic-only filter used here.</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epistemically screened set, not the absence of interpersonal or discourse mitigation from student writing overall. Genre compression in abstracts and the Working Test’s epistemic filter are both plausible accounts. Expert abstracts in the same three disciplines, coded with the same scheme and with a broader mitigation screen for comparison, would help separate genre effects, method effects, and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Chi-Square Test of Independence, </w:t>
      </w:r>
      <w:r>
        <w:rPr>
          <w:rFonts w:ascii="Georgia" w:cs="Georgia" w:eastAsia="Georgia" w:hAnsi="Georgia"/>
          <w:b w:val="0"/>
          <w:bCs w:val="0"/>
          <w:i w:val="0"/>
          <w:iCs w:val="0"/>
          <w:sz w:val="22"/>
          <w:szCs w:val="22"/>
          <w:rtl w:val="0"/>
        </w:rPr>
        <w:t xml:space="preserve">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Cohen’s Kappa (κ), </w:t>
      </w:r>
      <w:r>
        <w:rPr>
          <w:rFonts w:ascii="Georgia" w:cs="Georgia" w:eastAsia="Georgia" w:hAnsi="Georgia"/>
          <w:b w:val="0"/>
          <w:bCs w:val="0"/>
          <w:i w:val="0"/>
          <w:iCs w:val="0"/>
          <w:sz w:val="22"/>
          <w:szCs w:val="22"/>
          <w:rtl w:val="0"/>
        </w:rPr>
        <w:t xml:space="preserve">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Epistemic Weight, </w:t>
      </w:r>
      <w:r>
        <w:rPr>
          <w:rFonts w:ascii="Georgia" w:cs="Georgia" w:eastAsia="Georgia" w:hAnsi="Georgia"/>
          <w:b w:val="0"/>
          <w:bCs w:val="0"/>
          <w:i w:val="0"/>
          <w:iCs w:val="0"/>
          <w:sz w:val="22"/>
          <w:szCs w:val="22"/>
          <w:rtl w:val="0"/>
        </w:rPr>
        <w:t xml:space="preserve">conceptually, epistemic weight is the strength of the writer’s commitment to the truth of a proposition (how certain or tentative the claim is). Operationally, a change in epistemic weight supports an EC function label at Stage 2; Stage 1 retention uses the broader force / directness / imposition test.</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Kruskal-Wallis Test, </w:t>
      </w:r>
      <w:r>
        <w:rPr>
          <w:rFonts w:ascii="Georgia" w:cs="Georgia" w:eastAsia="Georgia" w:hAnsi="Georgia"/>
          <w:b w:val="0"/>
          <w:bCs w:val="0"/>
          <w:i w:val="0"/>
          <w:iCs w:val="0"/>
          <w:sz w:val="22"/>
          <w:szCs w:val="22"/>
          <w:rtl w:val="0"/>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7.39, p = .025.</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an exploratory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Rescue-Hedging (Rescue Framing), </w:t>
      </w:r>
      <w:r>
        <w:rPr>
          <w:rFonts w:ascii="Georgia" w:cs="Georgia" w:eastAsia="Georgia" w:hAnsi="Georgia"/>
          <w:b w:val="0"/>
          <w:bCs w:val="0"/>
          <w:i w:val="0"/>
          <w:iCs w:val="0"/>
          <w:sz w:val="22"/>
          <w:szCs w:val="22"/>
          <w:rtl w:val="0"/>
        </w:rPr>
        <w:t xml:space="preserve">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Softening, </w:t>
      </w:r>
      <w:r>
        <w:rPr>
          <w:rFonts w:ascii="Georgia" w:cs="Georgia" w:eastAsia="Georgia" w:hAnsi="Georgia"/>
          <w:b w:val="0"/>
          <w:bCs w:val="0"/>
          <w:i w:val="0"/>
          <w:iCs w:val="0"/>
          <w:sz w:val="22"/>
          <w:szCs w:val="22"/>
          <w:rtl w:val="0"/>
        </w:rPr>
        <w:t xml:space="preserve">conceptually, softening is the reduction of force, directness, imposition, or interpersonal impact in a statement. Operationally, Stage 1 retention tracks softening of force, directness, or imposition; Stage 2 sorts epistemic (EC), interpersonal (P), and discourse-managing (DO) uses.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rarely treated as a distinct rhetorical skill in many Philippine undergraduate writing courses, which tend to emphasize structure and grammatical correctness.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t xml:space="preserve">e. Data Analysis. </w:t>
      </w:r>
      <w:r>
        <w:rPr>
          <w:rFonts w:ascii="Georgia" w:hAnsi="Georgia" w:cs="Georgia" w:eastAsia="Georgia"/>
          <w:i w:val="0"/>
          <w:iCs w:val="0"/>
          <w:sz w:val="22"/>
          <w:szCs w:val="22"/>
          <w:rtl w:val="0"/>
          <w:b w:val="0"/>
          <w:bCs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pageBreakBefore/>
        <w:keepNext/>
        <w:keepLines/>
      </w:pPr>
      <w:r>
        <w:rPr>
          <w:rFonts w:ascii="Georgia" w:hAnsi="Georgia" w:cs="Georgia" w:eastAsia="Georgia"/>
          <w:sz w:val="22"/>
          <w:szCs w:val="22"/>
          <w:b/>
        </w:rPr>
        <w:t xml:space="preserve">Table 3</w:t>
      </w:r>
    </w:p>
    <w:p>
      <w:pPr>
        <w:spacing w:before="0" w:after="0" w:line="480" w:lineRule="auto"/>
        <w:jc w:val="center"/>
        <w:keepNext/>
        <w:keepLines/>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Layer 1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100.0%</w:t>
            </w:r>
          </w:p>
        </w:tc>
      </w:tr>
    </w:tbl>
    <w:p>
      <w:pPr>
        <w:spacing w:before="120" w:after="0" w:line="480" w:lineRule="auto"/>
        <w:ind w:firstLine="720"/>
      </w:pPr>
      <w:r>
        <w:rPr>
          <w:rFonts w:ascii="Georgia" w:hAnsi="Georgia" w:cs="Georgia" w:eastAsia="Georgia"/>
          <w:sz w:val="22"/>
          <w:szCs w:val="22"/>
        </w:rPr>
        <w:t>Table 3 lists every retained hedge form in the corpus with its Layer 1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5’s Unhedged sites column reports the corpus-wide total of 37.) These sites represent clauses where a hedge could have been inserted without changing the underlying facts, but no hedge was used. Layer 3 is included as a descriptive inventory of where hedging is absent in this corpus, not as a comparative claim against an expert or cross-discipline baseline. Without a matched comparison group, the counts document absence of overt hedges in specific claim environments. They do not measure underuse relative to a norm.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7.39, p = .025.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keepLines w:val="1"/>
        <w:spacing w:before="720" w:after="0" w:line="480" w:lineRule="auto"/>
        <w:jc w:val="center"/>
      </w:pPr>
      <w:r>
        <w:rPr>
          <w:rFonts w:ascii="Georgia" w:hAnsi="Georgia"/>
          <w:b/>
          <w:sz w:val="24"/>
        </w:rPr>
        <w:t>Table 6</w:t>
      </w:r>
    </w:p>
    <w:p>
      <w:pPr>
        <w:keepNext w:val="1"/>
        <w:keepLines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Most hedges fall in implication and conclusion sentences rather than in direct results reporting. Forms such as potential and suggest/suggests/suggesting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Parts I through III map frequency, function, and cross-disciplinary density. The contrasts below are exploratory descriptions of what was observed here, not stable discipline-level characteristics. As reported in Part II, the Kruskal-Wallis test on rates reached p = .025. Exploratory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keepLines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val="1"/>
          <w:tblHeader w:val="1"/>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val="1"/>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val="1"/>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val="1"/>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val="1"/>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val="1"/>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val="1"/>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Statistical evidence is exploratory (Kruskal-Wallis on rates p = .025, and pairwise Mann-Whitney tests with Bonferroni correction leave Biology–Veterinary Medicine as the surviving contrast) and the sample is small. The study provides a local baseline: VM abstracts in this corpus hedge less. The causes remain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both"/>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both"/>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both"/>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both"/>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both"/>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pPr>
        <w:spacing w:before="0" w:after="0" w:line="480" w:lineRule="auto"/>
        <w:ind w:left="720" w:hanging="720"/>
        <w:jc w:val="both"/>
        <w:rPr/>
      </w:pPr>
      <w:r>
        <w:rPr>
          <w:rFonts w:ascii="Georgia" w:hAnsi="Georgia"/>
          <w:sz w:val="22"/>
          <w:szCs w:val="22"/>
        </w:rPr>
        <w:t xml:space="preserve">Crompton, P. (1997). Hedging in academic writing: Some theoretical problems. English for Specific Purposes, 16(4), 271-287. https://www.academia.edu/50160307/Hedging_in_academic_writing_Some_theoretical_problems</w:t>
      </w:r>
    </w:p>
    <w:p w:rsidR="00000000" w:rsidDel="00000000" w:rsidP="00000000" w:rsidRDefault="00000000" w:rsidRPr="00000000" w14:paraId="0000018B">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both"/>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both"/>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both"/>
        <w:rPr/>
      </w:pPr>
      <w:r>
        <w:rPr>
          <w:rFonts w:ascii="Georgia" w:cs="Georgia" w:eastAsia="Georgia" w:hAnsi="Georgia"/>
          <w:b w:val="0"/>
          <w:bCs w:val="0"/>
          <w:i w:val="0"/>
          <w:iCs w:val="0"/>
          <w:sz w:val="22"/>
          <w:szCs w:val="22"/>
          <w:rtl w:val="0"/>
        </w:rPr>
        <w:t>Khunasathitchai, K., Sittironnarit, S., Sinturat, T., &amp; Kumdee, S. (2025). Move analysis and hedge use in the research paper abstracts of Thai EFL English-majored undergraduates. rEFLections, 32(2), 951–973. https://doi.org/10.61508/refl.v32i2.282512</w:t>
      </w:r>
      <w:r>
        <w:rPr>
          <w:rFonts w:ascii="Georgia" w:cs="Georgia" w:eastAsia="Georgia" w:hAnsi="Georgia"/>
          <w:b w:val="0"/>
          <w:bCs w:val="0"/>
          <w:i w:val="1"/>
          <w:iCs w:val="1"/>
          <w:sz w:val="22"/>
          <w:szCs w:val="22"/>
          <w:rtl w:val="0"/>
        </w:rPr>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192">
      <w:pPr>
        <w:spacing w:before="0" w:after="0" w:line="480" w:lineRule="auto"/>
        <w:ind w:left="720" w:hanging="720"/>
        <w:jc w:val="both"/>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both"/>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both"/>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both"/>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both"/>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both"/>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both"/>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both"/>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both"/>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Next w:val="1"/>
        <w:keepLines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rFonts w:ascii="Georgia" w:hAnsi="Georgia" w:cs="Georgia" w:eastAsia="Georgia"/>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hAnsi="Georgia" w:cs="Georgia" w:eastAsia="Georgia"/>
          <w:rtl w:val="0"/>
          <w:i/>
          <w:iCs/>
          <w:sz w:val="24"/>
          <w:szCs w:val="24"/>
        </w:rPr>
        <w:t xml:space="preserve">suggest / indicate becomes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hAnsi="Georgia" w:cs="Georgia" w:eastAsia="Georgia"/>
          <w:rtl w:val="0"/>
          <w:i/>
          <w:iCs/>
          <w:sz w:val="24"/>
          <w:szCs w:val="24"/>
        </w:rPr>
        <w:t xml:space="preserve">can / may becomes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hAnsi="Georgia" w:cs="Georgia" w:eastAsia="Georgia"/>
          <w:rtl w:val="0"/>
          <w:i/>
          <w:iCs/>
          <w:sz w:val="24"/>
          <w:szCs w:val="24"/>
        </w:rPr>
        <w:t xml:space="preserve">generally / typically becomes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hAnsi="Georgia" w:cs="Georgia" w:eastAsia="Georgia"/>
          <w:rtl w:val="0"/>
          <w:i/>
          <w:iCs/>
          <w:sz w:val="24"/>
          <w:szCs w:val="24"/>
        </w:rPr>
        <w:t xml:space="preserve">appear / seem becomes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Stage 1: retain if removing the device makes the claim or positioning more categorical, direct, or imposing. Working Test: used at Stage 2 to support EC when commitment to the proposition changes. Worked examples appear under Working Examples in the full codebook below.</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240"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240" w:after="0" w:line="480"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4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4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4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240" w:after="0" w:line="480"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24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4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4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4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4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4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pageBreakBefore w:val="1"/>
        <w:spacing w:before="240" w:after="0" w:line="48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Stage 1 (retention). Retain an expression if removing it makes the writer's claim or positioning more categorical, more direct, or more imposing in context. This gate is inclusive of epistemic, politeness, and discourse-managing mitigation. Capability, obligation, pure procedure, pure move sequencing, and topic-naming without force reduction remain out. Stage 2 (function). Label each retained item EC, P, and/or DO by dominant function. Co-occurrence is allowed. Working Test (EC diagnostic). For distinguishing epistemic effect, ask whether removing the device changes commitment to the truth of the proposition. Use this to support an EC label, not as the only Stage 1 membership test. Phrases that only point to evidence for a claim already asserted elsewhere (e.g., "as indicated by X") still fail Stage 1 when they do not reduce force, directness, or imposition.</w:t>
      </w:r>
      <w:r>
        <w:rPr>
          <w:rFonts w:ascii="Georgia" w:cs="Georgia" w:eastAsia="Georgia" w:hAnsi="Georgia"/>
          <w:b w:val="0"/>
          <w:bCs w:val="0"/>
          <w:i w:val="1"/>
          <w:iCs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Softening is broader than epistemic qualification. Stage 1 admits softening of force, directness, or imposition, including interpersonal and discourse-managing uses. The Working Test then helps decide whether a retained item is EC (commitment to the proposition changes) as opposed to primarily P or DO. P-only or DO-only items can be retained at Stage 1 when they reduce imposition or frame uptake, even if certainty is unchanged.</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Deontic language (obligation/recommendation) is never retained at Stage 1,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“can” is a hedge only for possibility, not capability. “suggest” is a hedge only for a finding, not a recommendation.</w:t>
      </w:r>
      <w:r>
        <w:rPr>
          <w:rFonts w:ascii="Georgia" w:cs="Georgia" w:eastAsia="Georgia" w:hAnsi="Georgia"/>
          <w:b w:val="0"/>
          <w:bCs w:val="0"/>
          <w:i w:val="1"/>
          <w:iCs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1"/>
          <w:iCs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apply Stage 1 (force / directness / imposition), check Decision Rules and false-positive exclusions, assign Stage 2 function (EC, P, and/or DO), use the Working Test when deciding whether EC applies, and log unresolved cases in Coder Notes rather than guessing.</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Function labels (EC, P, DO) are applied after Stage 1 retention. Stage 1 asks whether removing the expression makes the claim or positioning more categorical, direct, or imposing. The Working Test asks whether commitment to the proposition’s truth changes; it supports EC labeling and does not by itself bar P or DO. The examples below separate retention from function.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Epistemic Caution (EC) as hedge. “The treatment may reduce infection rates.” Removing may raises certainty about the finding. Working Test: pass. Code as hedge; function EC.</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Not a hedge (capability / false positive). “PCR can detect low concentrations.” Removing can does not change commitment to a research claim; can marks capability. Working Test: fail. Code FP-Cap, not a hedge.</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Politeness / Deference (P), Stage 1 pass possible. “As suggested by previous researchers, the treatment is effective.” Removing As suggested by previous researchers makes the claim more direct and less deferential. Stage 1: pass (reduced imposition). Working Test for EC: fail (certainty unchanged). Stage 2: P, not EC. Count as a hedge/mitigation device with function P.</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Both P and EC (Stage 1 pass; Stage 2 EC with P co-occurring). “We would suggest that the treatment may be less effective than earlier reports claimed.” Removing would suggest / may makes the criticism more categorical and more imposing. Stage 1: pass. Working Test for EC: pass. Stage 2: EC primary, P co-occurring (deference and softened disagreement).</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Discourse Organization (DO), Stage 1 pass when framing uptake. “It should be noted that the treatment increased plant height.” Removing It should be noted that removes reader guidance and can make the point land more bluntly. Stage 1: pass if the phrase frames how the claim is taken. Working Test for EC: fail. Stage 2: DO. Pure sequence markers (Thus, Therefore, Hence, In conclusion) that only order moves still fail Stage 1 and are not counted.</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DO-looking frame with a separate hedge. “It should be noted that the results may indicate a positive effect.” It should be noted that fails the Working Test on its own. may indicate passes. Code only may indicate as the hedge (EC). Do not treat the whole clause as one hedge because a later token is epistemic.</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Summary rule. Stage 1 can retain P-only or DO-only items when they reduce force, directness, or imposition even if certainty is unchanged. Stage 2 labels EC, P, and/or DO. The Working Test supports EC, not exclusive membership. In this corpus, every token retained in the coded set was labeled EC; no P candidates appeared in the abstracts, and sequence-only DO markers were not counted as hedges.</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 xml:space="preserve">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becomes "presence of mycobacterial infections"), the token is coded Lexical EC even in an aim or rationale sentence. Pure topic-naming aims leave a research-object name when the token is removed and remain FP-Gen. </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both"/>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hAnsi="Georgia" w:cs="Georgia" w:eastAsia="Georgia"/>
          <w:b w:val="0"/>
          <w:bCs w:val="0"/>
          <w:i w:val="0"/>
          <w:iCs w:val="0"/>
          <w:color w:val="000000"/>
          <w:rtl w:val="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hAnsi="Georgia" w:cs="Georgia" w:eastAsia="Georgia"/>
          <w:b w:val="0"/>
          <w:bCs w:val="0"/>
          <w:i w:val="0"/>
          <w:iCs w:val="0"/>
          <w:color w:val="000000"/>
          <w:rtl w:val="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The study would (FP-Gen)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[R]. This study is essential for getting insights into eco-brick manufacture because the workability of SUPs and UCOs as raw materials is proven. The research findings do not apply to buildings [G]. Therefore (DO), further research will (FP-Gen) aid in underlining the importance of optimizing the ingredient ratios to acquire desirable quality eco-bricks for sustainable construction applications.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A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000000"/>
          <w:sz w:val="22"/>
          <w:szCs w:val="22"/>
          <w:shd w:fill="00b0f0" w:val="clear"/>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B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rFonts w:ascii="Georgia" w:hAnsi="Georgia" w:cs="Georgia" w:eastAsia="Georgia"/>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[R]. There were variations in the mean antibody titer measured among samples.</w:t>
      </w:r>
      <w:r>
        <w:rPr>
          <w:rFonts w:ascii="Georgia" w:cs="Georgia" w:eastAsia="Georgia" w:hAnsi="Georgia"/>
          <w:b w:val="1"/>
          <w:bCs w:val="1"/>
          <w:strike w:val="0"/>
          <w:color w:val="000000"/>
          <w:sz w:val="22"/>
          <w:szCs w:val="22"/>
          <w:shd w:fill="bfbfbf" w:val="clear"/>
          <w:rtl w:val="0"/>
        </w:rPr>
      </w:r>
      <w:r>
        <w:rPr>
          <w:rFonts w:ascii="Georgia" w:cs="Georgia" w:eastAsia="Georgia" w:hAnsi="Georgia"/>
          <w:b w:val="1"/>
          <w:bCs w:val="1"/>
          <w:i w:val="0"/>
          <w:iCs w:val="0"/>
          <w:color w:val="00000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indicated (FP-Gen) that knowledge significantly predicted self-assessed awareness, while personal experience did not. The findings highlight critical knowledge gaps and underscore the need for targeted educational interventions using accessible media such as social platforms.</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potential (EC) of butterfly pea flower aqueous extract in improving the survival of zebrafish at its larval stage.</w:t>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2EF">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indicating (FP-Gen)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potential (EC) as effective, low-cost, and sustainable soil amendments for ornamental and horticultural cultivation, offering practical options for growers seeking eco-friendly methods to improve plant performance.</w:t>
      </w:r>
      <w:r>
        <w:rPr>
          <w:rFonts w:ascii="Georgia" w:cs="Georgia" w:eastAsia="Georgia" w:hAnsi="Georgia"/>
          <w:b w:val="1"/>
          <w:bCs w:val="1"/>
          <w:strike w:val="1"/>
          <w:color w:val="000000"/>
          <w:sz w:val="22"/>
          <w:szCs w:val="22"/>
          <w:rtl w:val="0"/>
        </w:rPr>
      </w:r>
      <w:r>
        <w:rPr>
          <w:rFonts w:ascii="Georgia" w:cs="Georgia" w:eastAsia="Georgia" w:hAnsi="Georgia"/>
          <w:b w:val="0"/>
          <w:bCs w:val="0"/>
          <w:i w:val="0"/>
          <w:iCs w:val="0"/>
          <w:color w:val="808080"/>
          <w:sz w:val="20"/>
          <w:szCs w:val="20"/>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color w:val="000000"/>
          <w:sz w:val="22"/>
          <w:szCs w:val="22"/>
          <w:rtl w:val="0"/>
        </w:rPr>
      </w:r>
      <w:r>
        <w:rPr>
          <w:rFonts w:ascii="Georgia" w:cs="Georgia" w:eastAsia="Georgia" w:hAnsi="Georgia"/>
          <w:b w:val="1"/>
          <w:bCs w:val="1"/>
          <w:strike w:val="0"/>
          <w:color w:val="ffffff"/>
          <w:sz w:val="22"/>
          <w:szCs w:val="22"/>
          <w:highlight w:val="red"/>
          <w:rtl w:val="0"/>
        </w:rPr>
      </w:r>
      <w:r>
        <w:rPr>
          <w:rFonts w:ascii="Georgia" w:cs="Georgia" w:eastAsia="Georgia" w:hAnsi="Georgia"/>
          <w:b w:val="1"/>
          <w:bCs w:val="1"/>
          <w:i w:val="0"/>
          <w:iCs w:val="0"/>
          <w:color w:val="ed7d31"/>
          <w:sz w:val="20"/>
          <w:szCs w:val="20"/>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305">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both"/>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