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240"/>
        <w:ind w:firstLine="0"/>
        <w:jc w:val="center"/>
      </w:pPr>
      <w:r>
        <w:rPr>
          <w:rFonts w:ascii="Georgia" w:hAnsi="Georgia" w:eastAsia="Georgia"/>
          <w:b/>
          <w:i w:val="0"/>
          <w:sz w:val="24"/>
        </w:rPr>
        <w:t>RESULTS, ANALYSIS, AND DISCUSSION</w:t>
      </w:r>
    </w:p>
    <w:p>
      <w:pPr>
        <w:spacing w:line="480" w:lineRule="auto" w:before="0" w:after="0"/>
        <w:ind w:firstLine="720"/>
        <w:jc w:val="both"/>
      </w:pPr>
      <w:r>
        <w:rPr>
          <w:rFonts w:ascii="Georgia" w:hAnsi="Georgia" w:eastAsia="Georgia"/>
          <w:b w:val="0"/>
          <w:i w:val="0"/>
          <w:sz w:val="22"/>
        </w:rPr>
        <w:t>This section presents the results, analysis, and discussion of the rhetorical appeals and directive subtypes identified in the call-to-action (CTA) phrases of Facebook skincare advertisement captions. The chapter is organized into three parts, each corresponding to a research question. Within each part, the findings from the data are presented first, followed by a discussion that relates those findings to related studies.</w:t>
      </w:r>
    </w:p>
    <w:p>
      <w:pPr>
        <w:spacing w:line="480" w:lineRule="auto" w:before="240" w:after="0"/>
        <w:ind w:firstLine="0"/>
        <w:jc w:val="both"/>
      </w:pPr>
      <w:r>
        <w:rPr>
          <w:rFonts w:ascii="Georgia" w:hAnsi="Georgia" w:eastAsia="Georgia"/>
          <w:b/>
          <w:i w:val="0"/>
          <w:sz w:val="24"/>
        </w:rPr>
        <w:t>Part I. Rhetorical Appeals Used in the CTA Phrases</w:t>
      </w:r>
    </w:p>
    <w:p>
      <w:pPr>
        <w:spacing w:line="480" w:lineRule="auto" w:before="200" w:after="0"/>
        <w:ind w:firstLine="0"/>
        <w:jc w:val="both"/>
      </w:pPr>
      <w:r>
        <w:rPr>
          <w:rFonts w:ascii="Georgia" w:hAnsi="Georgia" w:eastAsia="Georgia"/>
          <w:b/>
          <w:i w:val="0"/>
          <w:sz w:val="22"/>
        </w:rPr>
        <w:t>Findings</w:t>
      </w:r>
    </w:p>
    <w:p>
      <w:pPr>
        <w:spacing w:line="480" w:lineRule="auto" w:before="0" w:after="0"/>
        <w:ind w:firstLine="720"/>
        <w:jc w:val="both"/>
      </w:pPr>
      <w:r>
        <w:rPr>
          <w:rFonts w:ascii="Georgia" w:hAnsi="Georgia" w:eastAsia="Georgia"/>
          <w:b w:val="0"/>
          <w:i w:val="0"/>
          <w:sz w:val="22"/>
        </w:rPr>
        <w:t>The coding identified three rhetorical appeals across the 34 call-to-action (CTA) phrases from the selected Facebook skincare advertisement captions. These appeals were classified as logos, pathos, and ethos based on Aristotle’s rhetorical framework (Rapp, 2022). In identifying the dominant rhetorical appeal, the full advertisement caption was examined to determine the textual elements that indicated the appeal, while the CTA phrase served as the primary unit of analysis. Table 1 presents the distribution of rhetorical appeals across the five selected skincare brands.</w:t>
      </w:r>
    </w:p>
    <w:p>
      <w:pPr>
        <w:spacing w:line="480" w:lineRule="auto" w:before="240" w:after="0"/>
        <w:ind w:firstLine="0"/>
        <w:jc w:val="center"/>
      </w:pPr>
      <w:r>
        <w:rPr>
          <w:rFonts w:ascii="Georgia" w:hAnsi="Georgia" w:eastAsia="Georgia"/>
          <w:b/>
          <w:i w:val="0"/>
          <w:sz w:val="22"/>
        </w:rPr>
        <w:t>Table 1</w:t>
      </w:r>
    </w:p>
    <w:p>
      <w:pPr>
        <w:spacing w:line="480" w:lineRule="auto" w:before="0" w:after="120"/>
        <w:ind w:firstLine="0"/>
        <w:jc w:val="center"/>
      </w:pPr>
      <w:r>
        <w:rPr>
          <w:rFonts w:ascii="Georgia" w:hAnsi="Georgia" w:eastAsia="Georgia"/>
          <w:b w:val="0"/>
          <w:i/>
          <w:sz w:val="22"/>
        </w:rPr>
        <w:t>Frequency and Percentage Distribution of Rhetorical Appeals</w:t>
      </w:r>
    </w:p>
    <w:tbl>
      <w:tblPr>
        <w:tblStyle w:val="TableGrid"/>
        <w:tblW w:type="auto" w:w="0"/>
        <w:jc w:val="center"/>
        <w:tblLook w:firstColumn="1" w:firstRow="1" w:lastColumn="0" w:lastRow="0" w:noHBand="0" w:noVBand="1" w:val="04A0"/>
      </w:tblPr>
      <w:tblGrid>
        <w:gridCol w:w="2880"/>
        <w:gridCol w:w="2880"/>
        <w:gridCol w:w="2880"/>
      </w:tblGrid>
      <w:tr>
        <w:tc>
          <w:tcPr>
            <w:tcW w:type="dxa" w:w="3168"/>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Rhetorical Appeal</w:t>
            </w:r>
          </w:p>
        </w:tc>
        <w:tc>
          <w:tcPr>
            <w:tcW w:type="dxa" w:w="2160"/>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Frequency</w:t>
            </w:r>
          </w:p>
        </w:tc>
        <w:tc>
          <w:tcPr>
            <w:tcW w:type="dxa" w:w="2160"/>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Percentage</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Logos</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22</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64.71%</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Pathos</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11</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32.35%</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Ethos</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1</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2.94%</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Total</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34</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100%</w:t>
            </w:r>
          </w:p>
        </w:tc>
      </w:tr>
    </w:tbl>
    <w:p>
      <w:pPr>
        <w:spacing w:line="480" w:lineRule="auto" w:before="0" w:after="0"/>
        <w:ind w:firstLine="720"/>
        <w:jc w:val="both"/>
      </w:pPr>
      <w:r>
        <w:rPr>
          <w:rFonts w:ascii="Georgia" w:hAnsi="Georgia" w:eastAsia="Georgia"/>
          <w:b w:val="0"/>
          <w:i w:val="0"/>
          <w:sz w:val="22"/>
        </w:rPr>
        <w:t>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pPr>
        <w:spacing w:line="480" w:lineRule="auto" w:before="0" w:after="0"/>
        <w:ind w:firstLine="720"/>
        <w:jc w:val="both"/>
      </w:pPr>
      <w:r>
        <w:rPr>
          <w:rFonts w:ascii="Georgia" w:hAnsi="Georgia" w:eastAsia="Georgia"/>
          <w:b w:val="0"/>
          <w:i w:val="0"/>
          <w:sz w:val="22"/>
        </w:rPr>
        <w:t>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p>
    <w:p>
      <w:pPr>
        <w:spacing w:line="480" w:lineRule="auto" w:before="0" w:after="0"/>
        <w:ind w:firstLine="720"/>
        <w:jc w:val="both"/>
      </w:pPr>
      <w:r>
        <w:rPr>
          <w:rFonts w:ascii="Georgia" w:hAnsi="Georgia" w:eastAsia="Georgia"/>
          <w:b w:val="0"/>
          <w:i w:val="0"/>
          <w:sz w:val="22"/>
        </w:rPr>
        <w:t>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p>
    <w:p>
      <w:pPr>
        <w:spacing w:line="480" w:lineRule="auto" w:before="0" w:after="0"/>
        <w:ind w:firstLine="720"/>
        <w:jc w:val="both"/>
      </w:pPr>
      <w:r>
        <w:rPr>
          <w:rFonts w:ascii="Georgia" w:hAnsi="Georgia" w:eastAsia="Georgia"/>
          <w:b w:val="0"/>
          <w:i w:val="0"/>
          <w:sz w:val="22"/>
        </w:rPr>
        <w:t>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p>
    <w:p>
      <w:pPr>
        <w:spacing w:line="480" w:lineRule="auto" w:before="0" w:after="0"/>
        <w:ind w:firstLine="720"/>
        <w:jc w:val="both"/>
      </w:pPr>
      <w:r>
        <w:rPr>
          <w:rFonts w:ascii="Georgia" w:hAnsi="Georgia" w:eastAsia="Georgia"/>
          <w:b w:val="0"/>
          <w:i w:val="0"/>
          <w:sz w:val="22"/>
        </w:rPr>
        <w:t>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p>
    <w:p>
      <w:pPr>
        <w:spacing w:line="480" w:lineRule="auto" w:before="240" w:after="0"/>
        <w:ind w:firstLine="0"/>
        <w:jc w:val="center"/>
      </w:pPr>
      <w:r>
        <w:rPr>
          <w:rFonts w:ascii="Georgia" w:hAnsi="Georgia" w:eastAsia="Georgia"/>
          <w:b/>
          <w:i w:val="0"/>
          <w:sz w:val="22"/>
        </w:rPr>
        <w:t>Table 2</w:t>
      </w:r>
    </w:p>
    <w:p>
      <w:pPr>
        <w:spacing w:line="480" w:lineRule="auto" w:before="0" w:after="120"/>
        <w:ind w:firstLine="0"/>
        <w:jc w:val="center"/>
      </w:pPr>
      <w:r>
        <w:rPr>
          <w:rFonts w:ascii="Georgia" w:hAnsi="Georgia" w:eastAsia="Georgia"/>
          <w:b w:val="0"/>
          <w:i/>
          <w:sz w:val="22"/>
        </w:rPr>
        <w:t>Sample Analysis of Rhetorical Appeals</w:t>
      </w:r>
    </w:p>
    <w:p>
      <w:pPr>
        <w:spacing w:line="480" w:lineRule="auto" w:before="0" w:after="0"/>
        <w:ind w:firstLine="0"/>
        <w:jc w:val="both"/>
      </w:pPr>
      <w:r>
        <w:rPr>
          <w:rFonts w:ascii="Georgia" w:hAnsi="Georgia" w:eastAsia="Georgia"/>
          <w:b w:val="0"/>
          <w:i/>
          <w:sz w:val="22"/>
        </w:rPr>
        <w:t>[Insert Table 2 sample rows from the working Chapter 3 draft: Olay, Luxe Organix, The Ordinary, Myra, and Pond’s with caption, rhetorical appeal, and interpretation.]</w:t>
      </w:r>
    </w:p>
    <w:p>
      <w:pPr>
        <w:spacing w:line="480" w:lineRule="auto" w:before="0" w:after="0"/>
        <w:ind w:firstLine="720"/>
        <w:jc w:val="both"/>
      </w:pPr>
      <w:r>
        <w:rPr>
          <w:rFonts w:ascii="Georgia" w:hAnsi="Georgia" w:eastAsia="Georgia"/>
          <w:b w:val="0"/>
          <w:i w:val="0"/>
          <w:sz w:val="22"/>
        </w:rPr>
        <w:t>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p>
    <w:p>
      <w:pPr>
        <w:spacing w:line="480" w:lineRule="auto" w:before="200" w:after="0"/>
        <w:ind w:firstLine="0"/>
        <w:jc w:val="both"/>
      </w:pPr>
      <w:r>
        <w:rPr>
          <w:rFonts w:ascii="Georgia" w:hAnsi="Georgia" w:eastAsia="Georgia"/>
          <w:b/>
          <w:i w:val="0"/>
          <w:sz w:val="22"/>
        </w:rPr>
        <w:t>Discussion</w:t>
      </w:r>
    </w:p>
    <w:p>
      <w:pPr>
        <w:spacing w:line="480" w:lineRule="auto" w:before="0" w:after="0"/>
        <w:ind w:firstLine="720"/>
        <w:jc w:val="both"/>
      </w:pPr>
      <w:r>
        <w:rPr>
          <w:rFonts w:ascii="Georgia" w:hAnsi="Georgia" w:eastAsia="Georgia"/>
          <w:b w:val="0"/>
          <w:i w:val="0"/>
          <w:sz w:val="22"/>
        </w:rPr>
        <w:t>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was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p>
    <w:p>
      <w:pPr>
        <w:spacing w:line="480" w:lineRule="auto" w:before="0" w:after="0"/>
        <w:ind w:firstLine="720"/>
        <w:jc w:val="both"/>
      </w:pPr>
      <w:r>
        <w:rPr>
          <w:rFonts w:ascii="Georgia" w:hAnsi="Georgia" w:eastAsia="Georgia"/>
          <w:b w:val="0"/>
          <w:i w:val="0"/>
          <w:sz w:val="22"/>
        </w:rPr>
        <w:t>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p>
    <w:p>
      <w:pPr>
        <w:spacing w:line="480" w:lineRule="auto" w:before="240" w:after="0"/>
        <w:ind w:firstLine="0"/>
        <w:jc w:val="both"/>
      </w:pPr>
      <w:r>
        <w:rPr>
          <w:rFonts w:ascii="Georgia" w:hAnsi="Georgia" w:eastAsia="Georgia"/>
          <w:b/>
          <w:i w:val="0"/>
          <w:sz w:val="24"/>
        </w:rPr>
        <w:t>Part II. Directive Subtypes Present in the CTA Phrases</w:t>
      </w:r>
    </w:p>
    <w:p>
      <w:pPr>
        <w:spacing w:line="480" w:lineRule="auto" w:before="200" w:after="0"/>
        <w:ind w:firstLine="0"/>
        <w:jc w:val="both"/>
      </w:pPr>
      <w:r>
        <w:rPr>
          <w:rFonts w:ascii="Georgia" w:hAnsi="Georgia" w:eastAsia="Georgia"/>
          <w:b/>
          <w:i w:val="0"/>
          <w:sz w:val="22"/>
        </w:rPr>
        <w:t>Findings</w:t>
      </w:r>
    </w:p>
    <w:p>
      <w:pPr>
        <w:spacing w:line="480" w:lineRule="auto" w:before="0" w:after="0"/>
        <w:ind w:firstLine="720"/>
        <w:jc w:val="both"/>
      </w:pPr>
      <w:r>
        <w:rPr>
          <w:rFonts w:ascii="Georgia" w:hAnsi="Georgia" w:eastAsia="Georgia"/>
          <w:b w:val="0"/>
          <w:i w:val="0"/>
          <w:sz w:val="22"/>
        </w:rPr>
        <w:t>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Searle (1975, 1976) describes directives as speech acts through which the speaker attempts to get the hearer to perform an action. Table 3 presents the distribution of directive subtypes across the five selected skincare brands.</w:t>
      </w:r>
    </w:p>
    <w:p>
      <w:pPr>
        <w:spacing w:line="480" w:lineRule="auto" w:before="240" w:after="0"/>
        <w:ind w:firstLine="0"/>
        <w:jc w:val="center"/>
      </w:pPr>
      <w:r>
        <w:rPr>
          <w:rFonts w:ascii="Georgia" w:hAnsi="Georgia" w:eastAsia="Georgia"/>
          <w:b/>
          <w:i w:val="0"/>
          <w:sz w:val="22"/>
        </w:rPr>
        <w:t>Table 3</w:t>
      </w:r>
    </w:p>
    <w:p>
      <w:pPr>
        <w:spacing w:line="480" w:lineRule="auto" w:before="0" w:after="120"/>
        <w:ind w:firstLine="0"/>
        <w:jc w:val="center"/>
      </w:pPr>
      <w:r>
        <w:rPr>
          <w:rFonts w:ascii="Georgia" w:hAnsi="Georgia" w:eastAsia="Georgia"/>
          <w:b w:val="0"/>
          <w:i/>
          <w:sz w:val="22"/>
        </w:rPr>
        <w:t>Frequency and Percentage Distribution of Directive Subtypes</w:t>
      </w:r>
    </w:p>
    <w:tbl>
      <w:tblPr>
        <w:tblStyle w:val="TableGrid"/>
        <w:tblW w:type="auto" w:w="0"/>
        <w:jc w:val="center"/>
        <w:tblLook w:firstColumn="1" w:firstRow="1" w:lastColumn="0" w:lastRow="0" w:noHBand="0" w:noVBand="1" w:val="04A0"/>
      </w:tblPr>
      <w:tblGrid>
        <w:gridCol w:w="2880"/>
        <w:gridCol w:w="2880"/>
        <w:gridCol w:w="2880"/>
      </w:tblGrid>
      <w:tr>
        <w:tc>
          <w:tcPr>
            <w:tcW w:type="dxa" w:w="3168"/>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Directive Subtype</w:t>
            </w:r>
          </w:p>
        </w:tc>
        <w:tc>
          <w:tcPr>
            <w:tcW w:type="dxa" w:w="2160"/>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Frequency</w:t>
            </w:r>
          </w:p>
        </w:tc>
        <w:tc>
          <w:tcPr>
            <w:tcW w:type="dxa" w:w="2160"/>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Percentage</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Command</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0</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0%</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Order</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22</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64.71%</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Suggestion</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12</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35.29%</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Request</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0</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0%</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Total</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34</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100%</w:t>
            </w:r>
          </w:p>
        </w:tc>
      </w:tr>
    </w:tbl>
    <w:p>
      <w:pPr>
        <w:spacing w:line="480" w:lineRule="auto" w:before="0" w:after="0"/>
        <w:ind w:firstLine="720"/>
        <w:jc w:val="both"/>
      </w:pPr>
      <w:r>
        <w:rPr>
          <w:rFonts w:ascii="Georgia" w:hAnsi="Georgia" w:eastAsia="Georgia"/>
          <w:b w:val="0"/>
          <w:i w:val="0"/>
          <w:sz w:val="22"/>
        </w:rPr>
        <w:t>Table 3 presents the overall distribution of the four directive subtypes considered in the analysis. Order was the most frequently identified subtype, with 22 instances (64.71%), followed by suggestion, with 12 instances (35.29%). No instances of command or request were identified in the analyzed CTA phrases. Orders appeared across all five selected skincare brands, while suggestions were also identified across the selected advertisements, although their frequency varied by brand.</w:t>
      </w:r>
    </w:p>
    <w:p>
      <w:pPr>
        <w:spacing w:line="480" w:lineRule="auto" w:before="0" w:after="0"/>
        <w:ind w:firstLine="720"/>
        <w:jc w:val="both"/>
      </w:pPr>
      <w:r>
        <w:rPr>
          <w:rFonts w:ascii="Georgia" w:hAnsi="Georgia" w:eastAsia="Georgia"/>
          <w:b w:val="0"/>
          <w:i w:val="0"/>
          <w:sz w:val="22"/>
        </w:rPr>
        <w:t>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p>
    <w:p>
      <w:pPr>
        <w:spacing w:line="480" w:lineRule="auto" w:before="0" w:after="0"/>
        <w:ind w:firstLine="720"/>
        <w:jc w:val="both"/>
      </w:pPr>
      <w:r>
        <w:rPr>
          <w:rFonts w:ascii="Georgia" w:hAnsi="Georgia" w:eastAsia="Georgia"/>
          <w:b w:val="0"/>
          <w:i w:val="0"/>
          <w:sz w:val="22"/>
        </w:rPr>
        <w:t>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p>
    <w:p>
      <w:pPr>
        <w:spacing w:line="480" w:lineRule="auto" w:before="0" w:after="0"/>
        <w:ind w:firstLine="720"/>
        <w:jc w:val="both"/>
      </w:pPr>
      <w:r>
        <w:rPr>
          <w:rFonts w:ascii="Georgia" w:hAnsi="Georgia" w:eastAsia="Georgia"/>
          <w:b w:val="0"/>
          <w:i w:val="0"/>
          <w:sz w:val="22"/>
        </w:rPr>
        <w:t>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p>
    <w:p>
      <w:pPr>
        <w:spacing w:line="480" w:lineRule="auto" w:before="0" w:after="0"/>
        <w:ind w:firstLine="720"/>
        <w:jc w:val="both"/>
      </w:pPr>
      <w:r>
        <w:rPr>
          <w:rFonts w:ascii="Georgia" w:hAnsi="Georgia" w:eastAsia="Georgia"/>
          <w:b w:val="0"/>
          <w:i w:val="0"/>
          <w:sz w:val="22"/>
        </w:rPr>
        <w:t>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p>
    <w:p>
      <w:pPr>
        <w:spacing w:line="480" w:lineRule="auto" w:before="240" w:after="0"/>
        <w:ind w:firstLine="0"/>
        <w:jc w:val="center"/>
      </w:pPr>
      <w:r>
        <w:rPr>
          <w:rFonts w:ascii="Georgia" w:hAnsi="Georgia" w:eastAsia="Georgia"/>
          <w:b/>
          <w:i w:val="0"/>
          <w:sz w:val="22"/>
        </w:rPr>
        <w:t>Table 4</w:t>
      </w:r>
    </w:p>
    <w:p>
      <w:pPr>
        <w:spacing w:line="480" w:lineRule="auto" w:before="0" w:after="120"/>
        <w:ind w:firstLine="0"/>
        <w:jc w:val="center"/>
      </w:pPr>
      <w:r>
        <w:rPr>
          <w:rFonts w:ascii="Georgia" w:hAnsi="Georgia" w:eastAsia="Georgia"/>
          <w:b w:val="0"/>
          <w:i/>
          <w:sz w:val="22"/>
        </w:rPr>
        <w:t>Sample Analysis of Directive Subtypes</w:t>
      </w:r>
    </w:p>
    <w:p>
      <w:pPr>
        <w:spacing w:line="480" w:lineRule="auto" w:before="0" w:after="0"/>
        <w:ind w:firstLine="0"/>
        <w:jc w:val="both"/>
      </w:pPr>
      <w:r>
        <w:rPr>
          <w:rFonts w:ascii="Georgia" w:hAnsi="Georgia" w:eastAsia="Georgia"/>
          <w:b w:val="0"/>
          <w:i/>
          <w:sz w:val="22"/>
        </w:rPr>
        <w:t>[Insert Table 4 sample rows from the working Chapter 3 draft: Olay, Luxe Organix, The Ordinary, Myra, and Pond’s with caption, directive subtype, and interpretation.]</w:t>
      </w:r>
    </w:p>
    <w:p>
      <w:pPr>
        <w:spacing w:line="480" w:lineRule="auto" w:before="0" w:after="0"/>
        <w:ind w:firstLine="720"/>
        <w:jc w:val="both"/>
      </w:pPr>
      <w:r>
        <w:rPr>
          <w:rFonts w:ascii="Georgia" w:hAnsi="Georgia" w:eastAsia="Georgia"/>
          <w:b w:val="0"/>
          <w:i w:val="0"/>
          <w:sz w:val="22"/>
        </w:rPr>
        <w:t>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p>
    <w:p>
      <w:pPr>
        <w:spacing w:line="480" w:lineRule="auto" w:before="200" w:after="0"/>
        <w:ind w:firstLine="0"/>
        <w:jc w:val="both"/>
      </w:pPr>
      <w:r>
        <w:rPr>
          <w:rFonts w:ascii="Georgia" w:hAnsi="Georgia" w:eastAsia="Georgia"/>
          <w:b/>
          <w:i w:val="0"/>
          <w:sz w:val="22"/>
        </w:rPr>
        <w:t>Discussion</w:t>
      </w:r>
    </w:p>
    <w:p>
      <w:pPr>
        <w:spacing w:line="480" w:lineRule="auto" w:before="0" w:after="0"/>
        <w:ind w:firstLine="720"/>
        <w:jc w:val="both"/>
      </w:pPr>
      <w:r>
        <w:rPr>
          <w:rFonts w:ascii="Georgia" w:hAnsi="Georgia" w:eastAsia="Georgia"/>
          <w:b w:val="0"/>
          <w:i w:val="0"/>
          <w:sz w:val="22"/>
        </w:rPr>
        <w:t>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p>
    <w:p>
      <w:pPr>
        <w:spacing w:line="480" w:lineRule="auto" w:before="0" w:after="0"/>
        <w:ind w:firstLine="720"/>
        <w:jc w:val="both"/>
      </w:pPr>
      <w:r>
        <w:rPr>
          <w:rFonts w:ascii="Georgia" w:hAnsi="Georgia" w:eastAsia="Georgia"/>
          <w:b w:val="0"/>
          <w:i w:val="0"/>
          <w:sz w:val="22"/>
        </w:rPr>
        <w:t>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p>
    <w:p>
      <w:pPr>
        <w:spacing w:line="480" w:lineRule="auto" w:before="240" w:after="0"/>
        <w:ind w:firstLine="0"/>
        <w:jc w:val="both"/>
      </w:pPr>
      <w:r>
        <w:rPr>
          <w:rFonts w:ascii="Georgia" w:hAnsi="Georgia" w:eastAsia="Georgia"/>
          <w:b/>
          <w:i w:val="0"/>
          <w:sz w:val="24"/>
        </w:rPr>
        <w:t>Part III. Constructing Persuasive Meaning</w:t>
      </w:r>
    </w:p>
    <w:p>
      <w:pPr>
        <w:spacing w:line="480" w:lineRule="auto" w:before="200" w:after="0"/>
        <w:ind w:firstLine="0"/>
        <w:jc w:val="both"/>
      </w:pPr>
      <w:r>
        <w:rPr>
          <w:rFonts w:ascii="Georgia" w:hAnsi="Georgia" w:eastAsia="Georgia"/>
          <w:b/>
          <w:i w:val="0"/>
          <w:sz w:val="22"/>
        </w:rPr>
        <w:t>Findings</w:t>
      </w:r>
    </w:p>
    <w:p>
      <w:pPr>
        <w:spacing w:line="480" w:lineRule="auto" w:before="0" w:after="0"/>
        <w:ind w:firstLine="720"/>
        <w:jc w:val="both"/>
      </w:pPr>
      <w:r>
        <w:rPr>
          <w:rFonts w:ascii="Georgia" w:hAnsi="Georgia" w:eastAsia="Georgia"/>
          <w:b w:val="0"/>
          <w:i w:val="0"/>
          <w:sz w:val="22"/>
        </w:rPr>
        <w:t>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p>
    <w:p>
      <w:pPr>
        <w:spacing w:line="480" w:lineRule="auto" w:before="240" w:after="0"/>
        <w:ind w:firstLine="0"/>
        <w:jc w:val="center"/>
      </w:pPr>
      <w:r>
        <w:rPr>
          <w:rFonts w:ascii="Georgia" w:hAnsi="Georgia" w:eastAsia="Georgia"/>
          <w:b/>
          <w:i w:val="0"/>
          <w:sz w:val="22"/>
        </w:rPr>
        <w:t>Table 5</w:t>
      </w:r>
    </w:p>
    <w:p>
      <w:pPr>
        <w:spacing w:line="480" w:lineRule="auto" w:before="0" w:after="120"/>
        <w:ind w:firstLine="0"/>
        <w:jc w:val="center"/>
      </w:pPr>
      <w:r>
        <w:rPr>
          <w:rFonts w:ascii="Georgia" w:hAnsi="Georgia" w:eastAsia="Georgia"/>
          <w:b w:val="0"/>
          <w:i/>
          <w:sz w:val="22"/>
        </w:rPr>
        <w:t>Frequency and Percentage Distribution of Rhetorical Appeal and Directive Subtype Combinations</w:t>
      </w:r>
    </w:p>
    <w:tbl>
      <w:tblPr>
        <w:tblStyle w:val="TableGrid"/>
        <w:tblW w:type="auto" w:w="0"/>
        <w:jc w:val="center"/>
        <w:tblLook w:firstColumn="1" w:firstRow="1" w:lastColumn="0" w:lastRow="0" w:noHBand="0" w:noVBand="1" w:val="04A0"/>
      </w:tblPr>
      <w:tblGrid>
        <w:gridCol w:w="2880"/>
        <w:gridCol w:w="2880"/>
        <w:gridCol w:w="2880"/>
      </w:tblGrid>
      <w:tr>
        <w:tc>
          <w:tcPr>
            <w:tcW w:type="dxa" w:w="4608"/>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Rhetorical Appeal + Directive Subtype</w:t>
            </w:r>
          </w:p>
        </w:tc>
        <w:tc>
          <w:tcPr>
            <w:tcW w:type="dxa" w:w="1872"/>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Frequency</w:t>
            </w:r>
          </w:p>
        </w:tc>
        <w:tc>
          <w:tcPr>
            <w:tcW w:type="dxa" w:w="1872"/>
            <w:tcBorders>
              <w:top w:val="single" w:sz="4" w:space="0" w:color="000000"/>
              <w:left w:val="single" w:sz="4" w:space="0" w:color="000000"/>
              <w:bottom w:val="single" w:sz="4" w:space="0" w:color="000000"/>
              <w:right w:val="single" w:sz="4" w:space="0" w:color="000000"/>
            </w:tcBorders>
            <w:shd w:fill="D9D9D9" w:val="clear"/>
            <w:shd w:fill="D9D9D9" w:val="clear"/>
          </w:tcPr>
          <w:p>
            <w:pPr>
              <w:spacing w:before="40" w:after="40" w:line="240" w:lineRule="auto"/>
              <w:jc w:val="center"/>
            </w:pPr>
            <w:r/>
            <w:r>
              <w:rPr>
                <w:rFonts w:ascii="Georgia" w:hAnsi="Georgia" w:eastAsia="Georgia"/>
                <w:b/>
                <w:i w:val="0"/>
                <w:sz w:val="18"/>
              </w:rPr>
              <w:t>Percentage</w:t>
            </w:r>
          </w:p>
        </w:tc>
      </w:tr>
      <w:tr>
        <w:tc>
          <w:tcPr>
            <w:tcW w:type="dxa" w:w="4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Logos + Order</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15</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44.12%</w:t>
            </w:r>
          </w:p>
        </w:tc>
      </w:tr>
      <w:tr>
        <w:tc>
          <w:tcPr>
            <w:tcW w:type="dxa" w:w="4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Pathos + Order</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6</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17.65%</w:t>
            </w:r>
          </w:p>
        </w:tc>
      </w:tr>
      <w:tr>
        <w:tc>
          <w:tcPr>
            <w:tcW w:type="dxa" w:w="4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Ethos + Order</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1</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2.94%</w:t>
            </w:r>
          </w:p>
        </w:tc>
      </w:tr>
      <w:tr>
        <w:tc>
          <w:tcPr>
            <w:tcW w:type="dxa" w:w="4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Logos + Suggestion</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7</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20.59%</w:t>
            </w:r>
          </w:p>
        </w:tc>
      </w:tr>
      <w:tr>
        <w:tc>
          <w:tcPr>
            <w:tcW w:type="dxa" w:w="4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Pathos + Suggestion</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5</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val="0"/>
                <w:i w:val="0"/>
                <w:sz w:val="18"/>
              </w:rPr>
              <w:t>14.71%</w:t>
            </w:r>
          </w:p>
        </w:tc>
      </w:tr>
      <w:tr>
        <w:tc>
          <w:tcPr>
            <w:tcW w:type="dxa" w:w="4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Total</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34</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Georgia" w:hAnsi="Georgia" w:eastAsia="Georgia"/>
                <w:b/>
                <w:i w:val="0"/>
                <w:sz w:val="18"/>
              </w:rPr>
              <w:t>100%</w:t>
            </w:r>
          </w:p>
        </w:tc>
      </w:tr>
    </w:tbl>
    <w:p>
      <w:pPr>
        <w:spacing w:line="480" w:lineRule="auto" w:before="0" w:after="0"/>
        <w:ind w:firstLine="720"/>
        <w:jc w:val="both"/>
      </w:pPr>
      <w:r>
        <w:rPr>
          <w:rFonts w:ascii="Georgia" w:hAnsi="Georgia" w:eastAsia="Georgia"/>
          <w:b w:val="0"/>
          <w:i w:val="0"/>
          <w:sz w:val="22"/>
        </w:rPr>
        <w:t>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pPr>
        <w:spacing w:line="480" w:lineRule="auto" w:before="0" w:after="0"/>
        <w:ind w:firstLine="720"/>
        <w:jc w:val="both"/>
      </w:pPr>
      <w:r>
        <w:rPr>
          <w:rFonts w:ascii="Georgia" w:hAnsi="Georgia" w:eastAsia="Georgia"/>
          <w:b w:val="0"/>
          <w:i w:val="0"/>
          <w:sz w:val="22"/>
        </w:rPr>
        <w:t>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p>
    <w:p>
      <w:pPr>
        <w:spacing w:line="480" w:lineRule="auto" w:before="0" w:after="0"/>
        <w:ind w:firstLine="720"/>
        <w:jc w:val="both"/>
      </w:pPr>
      <w:r>
        <w:rPr>
          <w:rFonts w:ascii="Georgia" w:hAnsi="Georgia" w:eastAsia="Georgia"/>
          <w:b w:val="0"/>
          <w:i w:val="0"/>
          <w:sz w:val="22"/>
        </w:rPr>
        <w:t>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p>
    <w:p>
      <w:pPr>
        <w:spacing w:line="480" w:lineRule="auto" w:before="0" w:after="0"/>
        <w:ind w:firstLine="720"/>
        <w:jc w:val="both"/>
      </w:pPr>
      <w:r>
        <w:rPr>
          <w:rFonts w:ascii="Georgia" w:hAnsi="Georgia" w:eastAsia="Georgia"/>
          <w:b w:val="0"/>
          <w:i w:val="0"/>
          <w:sz w:val="22"/>
        </w:rPr>
        <w:t>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p>
    <w:p>
      <w:pPr>
        <w:spacing w:line="480" w:lineRule="auto" w:before="0" w:after="0"/>
        <w:ind w:firstLine="720"/>
        <w:jc w:val="both"/>
      </w:pPr>
      <w:r>
        <w:rPr>
          <w:rFonts w:ascii="Georgia" w:hAnsi="Georgia" w:eastAsia="Georgia"/>
          <w:b w:val="0"/>
          <w:i w:val="0"/>
          <w:sz w:val="22"/>
        </w:rPr>
        <w:t>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p>
    <w:p>
      <w:pPr>
        <w:spacing w:line="480" w:lineRule="auto" w:before="0" w:after="0"/>
        <w:ind w:firstLine="720"/>
        <w:jc w:val="both"/>
      </w:pPr>
      <w:r>
        <w:rPr>
          <w:rFonts w:ascii="Georgia" w:hAnsi="Georgia" w:eastAsia="Georgia"/>
          <w:b w:val="0"/>
          <w:i w:val="0"/>
          <w:sz w:val="22"/>
        </w:rPr>
        <w:t>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p>
    <w:p>
      <w:pPr>
        <w:spacing w:line="480" w:lineRule="auto" w:before="200" w:after="0"/>
        <w:ind w:firstLine="0"/>
        <w:jc w:val="both"/>
      </w:pPr>
      <w:r>
        <w:rPr>
          <w:rFonts w:ascii="Georgia" w:hAnsi="Georgia" w:eastAsia="Georgia"/>
          <w:b/>
          <w:i w:val="0"/>
          <w:sz w:val="22"/>
        </w:rPr>
        <w:t>Discussion</w:t>
      </w:r>
    </w:p>
    <w:p>
      <w:pPr>
        <w:spacing w:line="480" w:lineRule="auto" w:before="0" w:after="0"/>
        <w:ind w:firstLine="720"/>
        <w:jc w:val="both"/>
      </w:pPr>
      <w:r>
        <w:rPr>
          <w:rFonts w:ascii="Georgia" w:hAnsi="Georgia" w:eastAsia="Georgia"/>
          <w:b w:val="0"/>
          <w:i w:val="0"/>
          <w:sz w:val="22"/>
        </w:rPr>
        <w:t>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p>
    <w:p>
      <w:pPr>
        <w:spacing w:line="480" w:lineRule="auto" w:before="0" w:after="0"/>
        <w:ind w:firstLine="720"/>
        <w:jc w:val="both"/>
      </w:pPr>
      <w:r>
        <w:rPr>
          <w:rFonts w:ascii="Georgia" w:hAnsi="Georgia" w:eastAsia="Georgia"/>
          <w:b w:val="0"/>
          <w:i w:val="0"/>
          <w:sz w:val="22"/>
        </w:rPr>
        <w:t>These patterns do not contradict studies in which pathos or ethos appears more often in other materials, such as video advertisements (Dwiyanti, 2024) or other product sectors on Facebook (De Castro &amp; Martinez, 2025). They specify what the combinations look like in the selected Facebook skincare captions. Future work may test whether the Logos + Order preference holds in larger samples or on other platforms.</w:t>
      </w:r>
    </w:p>
    <w:p>
      <w:pPr>
        <w:spacing w:line="480" w:lineRule="auto" w:before="240" w:after="0"/>
        <w:ind w:firstLine="0"/>
        <w:jc w:val="both"/>
      </w:pPr>
      <w:r>
        <w:rPr>
          <w:rFonts w:ascii="Georgia" w:hAnsi="Georgia" w:eastAsia="Georgia"/>
          <w:b/>
          <w:i w:val="0"/>
          <w:sz w:val="24"/>
        </w:rPr>
        <w:t>References</w:t>
      </w:r>
    </w:p>
    <w:p>
      <w:pPr>
        <w:spacing w:line="480" w:lineRule="auto"/>
        <w:ind w:left="720" w:hanging="720"/>
        <w:jc w:val="left"/>
      </w:pPr>
      <w:r>
        <w:rPr>
          <w:rFonts w:ascii="Georgia" w:hAnsi="Georgia" w:eastAsia="Georgia"/>
          <w:b w:val="0"/>
          <w:i w:val="0"/>
          <w:sz w:val="22"/>
        </w:rPr>
        <w:t>Anggraini, &amp; Afriana. (2023). [Operational definitions of directive subtypes command, order, request, and suggestion, as applied in the thesis framework from Yule (1996)].</w:t>
      </w:r>
    </w:p>
    <w:p>
      <w:pPr>
        <w:spacing w:line="480" w:lineRule="auto"/>
        <w:ind w:left="720" w:hanging="720"/>
        <w:jc w:val="left"/>
      </w:pPr>
      <w:r>
        <w:rPr>
          <w:rFonts w:ascii="Georgia" w:hAnsi="Georgia" w:eastAsia="Georgia"/>
          <w:b w:val="0"/>
          <w:i w:val="0"/>
          <w:sz w:val="22"/>
        </w:rPr>
        <w:t>De Castro, G. L., &amp; Martinez, S. P. (2025). Rhetorical appeals across selected Philippine bank advertising on Facebook. Southern Semiotic Review, (22). https://doi.org/10.33234/SSR.22.13</w:t>
      </w:r>
    </w:p>
    <w:p>
      <w:pPr>
        <w:spacing w:line="480" w:lineRule="auto"/>
        <w:ind w:left="720" w:hanging="720"/>
        <w:jc w:val="left"/>
      </w:pPr>
      <w:r>
        <w:rPr>
          <w:rFonts w:ascii="Georgia" w:hAnsi="Georgia" w:eastAsia="Georgia"/>
          <w:b w:val="0"/>
          <w:i w:val="0"/>
          <w:sz w:val="22"/>
        </w:rPr>
        <w:t>Dwiyanti, W. G. (2024). Persuasive techniques in makeup and skincare video advertisements. JLT Jurnal Linguistik Terapan, 14(1), 27–37. https://jurnal.polinema.ac.id/index.php/jlt/article/view/4558</w:t>
      </w:r>
    </w:p>
    <w:p>
      <w:pPr>
        <w:spacing w:line="480" w:lineRule="auto"/>
        <w:ind w:left="720" w:hanging="720"/>
        <w:jc w:val="left"/>
      </w:pPr>
      <w:r>
        <w:rPr>
          <w:rFonts w:ascii="Georgia" w:hAnsi="Georgia" w:eastAsia="Georgia"/>
          <w:b w:val="0"/>
          <w:i w:val="0"/>
          <w:sz w:val="22"/>
        </w:rPr>
        <w:t>Nasir, M., Akhtar, N., Jamil, M., &amp; Mazhar, M. (2025). Linguistic strategies through modes of persuasion: A textual analysis of Pakistani social media advertisements. Journal of Applied Linguistics and TESOL (JALT), 8(4), 937–951. https://doi.org/10.63878/jalt1428</w:t>
      </w:r>
    </w:p>
    <w:p>
      <w:pPr>
        <w:spacing w:line="480" w:lineRule="auto"/>
        <w:ind w:left="720" w:hanging="720"/>
        <w:jc w:val="left"/>
      </w:pPr>
      <w:r>
        <w:rPr>
          <w:rFonts w:ascii="Georgia" w:hAnsi="Georgia" w:eastAsia="Georgia"/>
          <w:b w:val="0"/>
          <w:i w:val="0"/>
          <w:sz w:val="22"/>
        </w:rPr>
        <w:t>Pennock-Speck, B., &amp; Fuster-Márquez, M. (2014). Imperatives in voice-overs in British TV commercials: “Get this, buy that, taste the other.” Discourse &amp; Communication, 8(4), 411–426. https://doi.org/10.1177/1750481314537578</w:t>
      </w:r>
    </w:p>
    <w:p>
      <w:pPr>
        <w:spacing w:line="480" w:lineRule="auto"/>
        <w:ind w:left="720" w:hanging="720"/>
        <w:jc w:val="left"/>
      </w:pPr>
      <w:r>
        <w:rPr>
          <w:rFonts w:ascii="Georgia" w:hAnsi="Georgia" w:eastAsia="Georgia"/>
          <w:b w:val="0"/>
          <w:i w:val="0"/>
          <w:sz w:val="22"/>
        </w:rPr>
        <w:t>Rapp, C. (2022). Aristotle’s rhetoric. In E. N. Zalta (Ed.), The Stanford Encyclopedia of Philosophy (Spring 2022 ed.). Stanford University. https://plato.stanford.edu/entries/aristotle-rhetoric/</w:t>
      </w:r>
    </w:p>
    <w:p>
      <w:pPr>
        <w:spacing w:line="480" w:lineRule="auto"/>
        <w:ind w:left="720" w:hanging="720"/>
        <w:jc w:val="left"/>
      </w:pPr>
      <w:r>
        <w:rPr>
          <w:rFonts w:ascii="Georgia" w:hAnsi="Georgia" w:eastAsia="Georgia"/>
          <w:b w:val="0"/>
          <w:i w:val="0"/>
          <w:sz w:val="22"/>
        </w:rPr>
        <w:t>Saad, I. T., &amp; Ismael, A. A. (2025). The art of selling beauty: Analyzing persuasive strategies and speech acts in social media cosmetics advertising. Tasnim International Journal for Human, Social and Legal Sciences, 14. https://doi.org/10.56924/tasnim.14.2025/23</w:t>
      </w:r>
    </w:p>
    <w:p>
      <w:pPr>
        <w:spacing w:line="480" w:lineRule="auto"/>
        <w:ind w:left="720" w:hanging="720"/>
        <w:jc w:val="left"/>
      </w:pPr>
      <w:r>
        <w:rPr>
          <w:rFonts w:ascii="Georgia" w:hAnsi="Georgia" w:eastAsia="Georgia"/>
          <w:b w:val="0"/>
          <w:i w:val="0"/>
          <w:sz w:val="22"/>
        </w:rPr>
        <w:t>Searle, J. R. (1975). Indirect speech acts. In P. Cole &amp; J. L. Morgan (Eds.), Syntax and semantics: Vol. 3. Speech acts (pp. 59–82). Academic Press.</w:t>
      </w:r>
    </w:p>
    <w:p>
      <w:pPr>
        <w:spacing w:line="480" w:lineRule="auto"/>
        <w:ind w:left="720" w:hanging="720"/>
        <w:jc w:val="left"/>
      </w:pPr>
      <w:r>
        <w:rPr>
          <w:rFonts w:ascii="Georgia" w:hAnsi="Georgia" w:eastAsia="Georgia"/>
          <w:b w:val="0"/>
          <w:i w:val="0"/>
          <w:sz w:val="22"/>
        </w:rPr>
        <w:t>Searle, J. R. (1976). A classification of illocutionary acts. Language in Society, 5(1), 1–23. https://doi.org/10.1017/S0047404500006837</w:t>
      </w:r>
    </w:p>
    <w:p>
      <w:pPr>
        <w:spacing w:line="480" w:lineRule="auto"/>
        <w:ind w:left="720" w:hanging="720"/>
        <w:jc w:val="left"/>
      </w:pPr>
      <w:r>
        <w:rPr>
          <w:rFonts w:ascii="Georgia" w:hAnsi="Georgia" w:eastAsia="Georgia"/>
          <w:b w:val="0"/>
          <w:i w:val="0"/>
          <w:sz w:val="22"/>
        </w:rPr>
        <w:t>Talaue, G. M. (2022). Aristotle’s rhetorical triangle as applied to advertisements: Its impact to Saudi Arabian college student consumers. International Journal of Applied Management Theory and Research, 4(1), 1–18. https://doi.org/10.4018/IJAMTR.300280</w:t>
      </w:r>
    </w:p>
    <w:p>
      <w:pPr>
        <w:spacing w:line="480" w:lineRule="auto"/>
        <w:ind w:left="720" w:hanging="720"/>
        <w:jc w:val="left"/>
      </w:pPr>
      <w:r>
        <w:rPr>
          <w:rFonts w:ascii="Georgia" w:hAnsi="Georgia" w:eastAsia="Georgia"/>
          <w:b w:val="0"/>
          <w:i w:val="0"/>
          <w:sz w:val="22"/>
        </w:rPr>
        <w:t>Yule, G. (1996). Pragmatics. Oxford University Press.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