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 xml:space="preserve">Developing researchers tend to underuse hedges and to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axis.</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4"/>
          <w:szCs w:val="24"/>
        </w:rPr>
        <w:t xml:space="preserve">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Instruction helps.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keepNext w:val="1"/>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in this corpus, Veterinary Medicine abstracts hedge less than Biology abstracts on the corrected pairwise test, a pattern not explained by binary outcome type alone. Causes (field norm, adviser practice, or other factors) cannot be identified from abstract text alone.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pPr>
        <w:spacing w:before="0" w:after="0" w:line="480" w:lineRule="auto"/>
        <w:ind w:left="720" w:hanging="720"/>
        <w:jc w:val="left"/>
        <w:rPr/>
      </w:pPr>
      <w:r>
        <w:rPr>
          <w:rFonts w:ascii="Georgia" w:hAnsi="Georgia" w:cs="Georgia" w:eastAsia="Georgia"/>
          <w:sz w:val="24"/>
          <w:szCs w:val="24"/>
        </w:rPr>
        <w:t xml:space="preserve">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pPr>
        <w:spacing w:before="0" w:after="0" w:line="480" w:lineRule="auto"/>
        <w:ind w:left="720" w:hanging="720"/>
        <w:jc w:val="left"/>
        <w:rPr/>
      </w:pPr>
      <w:r>
        <w:rPr>
          <w:rFonts w:ascii="Georgia" w:hAnsi="Georgia" w:cs="Georgia" w:eastAsia="Georgia"/>
          <w:sz w:val="24"/>
          <w:szCs w:val="24"/>
        </w:rPr>
        <w:t xml:space="preserve">Hu, G., &amp; Cao, F. (2011). Hedging and boosting in abstracts of applied linguistics articles: A comparative study of English- and Chinese-medium journals. Journal of Pragmatics, 43(11), 2795–2809. https://doi.org/10.1016/j.pragma.2011.04.007</w:t>
      </w:r>
    </w:p>
    <w:p>
      <w:pPr>
        <w:spacing w:before="0" w:after="0" w:line="480" w:lineRule="auto"/>
        <w:ind w:left="720" w:hanging="720"/>
        <w:jc w:val="left"/>
        <w:rPr/>
      </w:pPr>
      <w:r>
        <w:rPr>
          <w:rFonts w:ascii="Georgia" w:hAnsi="Georgia" w:cs="Georgia" w:eastAsia="Georgia"/>
          <w:sz w:val="24"/>
          <w:szCs w:val="24"/>
        </w:rPr>
        <w:t xml:space="preserve">Hyland, K. (1996). Writing without conviction? Hedging in science research articles. Applied Linguistics, 17(4),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pPr>
        <w:spacing w:before="0" w:after="0" w:line="480" w:lineRule="auto"/>
        <w:ind w:left="720" w:hanging="720"/>
        <w:jc w:val="left"/>
        <w:rPr/>
      </w:pPr>
      <w:r>
        <w:rPr>
          <w:rFonts w:ascii="Georgia" w:hAnsi="Georgia" w:cs="Georgia" w:eastAsia="Georgia"/>
          <w:sz w:val="24"/>
          <w:szCs w:val="24"/>
        </w:rPr>
        <w:t xml:space="preserve">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pPr>
        <w:spacing w:before="0" w:after="0" w:line="480" w:lineRule="auto"/>
        <w:ind w:left="720" w:hanging="720"/>
        <w:jc w:val="left"/>
        <w:rPr/>
      </w:pPr>
      <w:r>
        <w:rPr>
          <w:rFonts w:ascii="Georgia" w:hAnsi="Georgia" w:cs="Georgia" w:eastAsia="Georgia"/>
          <w:sz w:val="24"/>
          <w:szCs w:val="24"/>
        </w:rPr>
        <w:t xml:space="preserve">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pPr>
        <w:spacing w:before="0" w:after="0" w:line="480" w:lineRule="auto"/>
        <w:ind w:left="720" w:hanging="720"/>
        <w:jc w:val="left"/>
        <w:rPr/>
        <w:keepLines w:val="1"/>
        <w:widowControl w:val="1"/>
      </w:pPr>
      <w:r>
        <w:rPr>
          <w:rFonts w:ascii="Georgia" w:hAnsi="Georgia" w:cs="Georgia" w:eastAsia="Georgia"/>
          <w:sz w:val="24"/>
          <w:szCs w:val="24"/>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