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8"/>
          <w:szCs w:val="28"/>
          <w:b/>
          <w:bCs/>
        </w:rPr>
        <w:t xml:space="preserve">THE USE OF HEDGES IN RESEARCH ABSTRACTS</w:t>
      </w:r>
    </w:p>
    <w:p>
      <w:pPr>
        <w:spacing w:before="0" w:after="0" w:line="360" w:lineRule="auto"/>
        <w:jc w:val="center"/>
      </w:pPr>
      <w:r>
        <w:rPr>
          <w:rFonts w:ascii="Georgia" w:hAnsi="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A Thesis</w:t>
      </w:r>
    </w:p>
    <w:p>
      <w:pPr>
        <w:spacing w:before="0" w:after="0" w:line="360" w:lineRule="auto"/>
        <w:jc w:val="center"/>
      </w:pPr>
      <w:r>
        <w:rPr>
          <w:rFonts w:ascii="Georgia" w:hAnsi="Georgia"/>
          <w:sz w:val="24"/>
          <w:szCs w:val="24"/>
        </w:rPr>
        <w:t xml:space="preserve">Presented to the Faculty of</w:t>
      </w:r>
    </w:p>
    <w:p>
      <w:pPr>
        <w:spacing w:before="0" w:after="0" w:line="360" w:lineRule="auto"/>
        <w:jc w:val="center"/>
      </w:pPr>
      <w:r>
        <w:rPr>
          <w:rFonts w:ascii="Georgia" w:hAnsi="Georgia"/>
          <w:sz w:val="24"/>
          <w:szCs w:val="24"/>
        </w:rPr>
        <w:t xml:space="preserve">Department of English</w:t>
      </w:r>
    </w:p>
    <w:p>
      <w:pPr>
        <w:spacing w:before="0" w:after="0" w:line="360" w:lineRule="auto"/>
        <w:jc w:val="center"/>
      </w:pPr>
      <w:r>
        <w:rPr>
          <w:rFonts w:ascii="Georgia" w:hAnsi="Georgia"/>
          <w:sz w:val="24"/>
          <w:szCs w:val="24"/>
        </w:rPr>
        <w:t xml:space="preserve">College of Arts and Sciences</w:t>
      </w:r>
    </w:p>
    <w:p>
      <w:pPr>
        <w:spacing w:before="0" w:after="0" w:line="360" w:lineRule="auto"/>
        <w:jc w:val="center"/>
      </w:pPr>
      <w:r>
        <w:rPr>
          <w:rFonts w:ascii="Georgia" w:hAnsi="Georgia"/>
          <w:sz w:val="24"/>
          <w:szCs w:val="24"/>
        </w:rPr>
        <w:t xml:space="preserve">Pampanga State Agricultural University</w:t>
      </w:r>
    </w:p>
    <w:p>
      <w:pPr>
        <w:spacing w:before="0" w:after="0" w:line="360" w:lineRule="auto"/>
        <w:jc w:val="center"/>
      </w:pPr>
      <w:r>
        <w:rPr>
          <w:rFonts w:ascii="Georgia" w:hAnsi="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In Partial Fulfillment</w:t>
      </w:r>
    </w:p>
    <w:p>
      <w:pPr>
        <w:spacing w:before="0" w:after="0" w:line="360" w:lineRule="auto"/>
        <w:jc w:val="center"/>
      </w:pPr>
      <w:r>
        <w:rPr>
          <w:rFonts w:ascii="Georgia" w:hAnsi="Georgia"/>
          <w:sz w:val="24"/>
          <w:szCs w:val="24"/>
        </w:rPr>
        <w:t xml:space="preserve">of the Requirements for the Degree</w:t>
      </w:r>
    </w:p>
    <w:p>
      <w:pPr>
        <w:spacing w:before="0" w:after="0" w:line="360" w:lineRule="auto"/>
        <w:jc w:val="center"/>
      </w:pPr>
      <w:r>
        <w:rPr>
          <w:rFonts w:ascii="Georgia" w:hAnsi="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sz w:val="24"/>
          <w:szCs w:val="24"/>
        </w:rPr>
        <w:t xml:space="preserve">October 2026</w:t>
      </w:r>
    </w:p>
    <w:p w:rsidR="00000000" w:rsidDel="00000000" w:rsidP="00000000" w:rsidRDefault="00000000" w:rsidRPr="00000000" w14:paraId="00000027">
      <w:pPr>
        <w:keepLines w:val="1"/>
        <w:spacing w:before="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absolute—agricultural work can be lab-based, biology can be field-based—but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cs="Georgia" w:eastAsia="Georgia" w:hAnsi="Georgia"/>
          <w:b w:val="0"/>
          <w:bCs w:val="0"/>
          <w:i w:val="0"/>
          <w:iCs w:val="0"/>
          <w:sz w:val="22"/>
          <w:szCs w:val="22"/>
          <w:rtl w:val="0"/>
        </w:rPr>
        <w:t xml:space="preserve">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writers—Philosophy and Psychology hedged more than Physics and History—yet modal verbs remained the dominant form across disciplines.</w:t>
      </w:r>
      <w:r>
        <w:rPr>
          <w:rtl w:val="0"/>
        </w:rPr>
      </w:r>
    </w:p>
    <w:p w:rsidR="00000000" w:rsidDel="00000000" w:rsidP="00000000" w:rsidRDefault="00000000" w:rsidRPr="00000000" w14:paraId="00000033">
      <w:pPr>
        <w:spacing w:before="0" w:after="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 xml:space="preserve">These findings are not necessarily contradictory. Afshar et al. and Mohammed compare different disciplinary pairings and use different hedge taxonomies—Afshar the full Salager-Meyer (1994) scheme, Mohammed a lexical-hedge focus—so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 xml:space="preserve">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claims—different genre, same point that hedging is context-sensitive.</w:t>
      </w:r>
      <w:r>
        <w:rPr>
          <w:rtl w:val="0"/>
        </w:rPr>
      </w:r>
    </w:p>
    <w:p w:rsidR="00000000" w:rsidDel="00000000" w:rsidP="00000000" w:rsidRDefault="00000000" w:rsidRPr="00000000" w14:paraId="0000003F">
      <w:pPr>
        <w:keepNext w:val="1"/>
        <w:keepLines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before="0" w:after="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Afshar et al., 2014). Developing researchers across contexts show limited hedge variety and tend to default to modal verbs (Khunasathitchai et al., 2025; Wang, 2022). L2 writers face additional constraints from linguistic factors and limited explicit instruction (Demir, 2018; Petchkij, 2019). Philippine and ASEAN studies confirm reliance on modals and, in some contexts, a preference for boosters (Ningrum et al., 2024; Escalona, 2025; Lopez et al., 2025).</w:t>
      </w:r>
      <w:r>
        <w:rPr>
          <w:rtl w:val="0"/>
        </w:rPr>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 xml:space="preserve">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 xml:space="preserve">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 xml:space="preserve">4. What do the frequency and functional patterns suggest about the construction of epistemic stance through hedging among developing researchers?</w:t>
      </w:r>
      <w:r>
        <w:rPr>
          <w:rtl w:val="0"/>
        </w:rPr>
      </w:r>
    </w:p>
    <w:p w:rsidR="00000000" w:rsidDel="00000000" w:rsidP="00000000" w:rsidRDefault="00000000" w:rsidRPr="00000000" w14:paraId="0000004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cs="Georgia" w:eastAsia="Georgia" w:hAnsi="Georgia"/>
          <w:b w:val="0"/>
          <w:bCs w:val="0"/>
          <w:i w:val="0"/>
          <w:iCs w:val="0"/>
          <w:sz w:val="22"/>
          <w:szCs w:val="22"/>
          <w:rtl w:val="0"/>
        </w:rPr>
        <w:t xml:space="preserve">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for the cross-tabulation of type-function pairings that RQ4 required.</w:t>
      </w:r>
      <w:r>
        <w:rPr>
          <w:rtl w:val="0"/>
        </w:rPr>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independent variable is discipline, which includes Agriculture, Veterinary Medicine, and Biology.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keepLines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b w:val="1"/>
          <w:bCs w:val="1"/>
          <w:rtl w:val="0"/>
        </w:rPr>
        <w:t xml:space="preserve">For writing instructors and thesis advisers at PSAU,</w:t>
      </w:r>
      <w:r>
        <w:rPr>
          <w:b w:val="0"/>
          <w:bCs w:val="0"/>
          <w:rtl w:val="0"/>
        </w:rPr>
        <w:t xml:space="preserve"> the study provides an empirical baseline of how developing researchers in three applied life sciences programs currently manage uncertainty in abstracts. That baseline can support more targeted feedback than generic advice to “be cautious.”</w:t>
      </w:r>
      <w:r>
        <w:rPr>
          <w:rtl w:val="0"/>
        </w:rPr>
      </w:r>
    </w:p>
    <w:p w:rsidR="00000000" w:rsidDel="00000000" w:rsidP="00000000" w:rsidRDefault="00000000" w:rsidRPr="00000000" w14:paraId="00000058">
      <w:pPr>
        <w:spacing w:before="0" w:after="0" w:line="480" w:lineRule="auto"/>
        <w:ind w:firstLine="720"/>
        <w:jc w:val="both"/>
        <w:rPr/>
      </w:pPr>
      <w:r>
        <w:rPr>
          <w:b w:val="1"/>
          <w:bCs w:val="1"/>
          <w:rtl w:val="0"/>
        </w:rPr>
        <w:t xml:space="preserve">For academic writing researchers,</w:t>
      </w:r>
      <w:r>
        <w:rPr>
          <w:b w:val="0"/>
          <w:bCs w:val="0"/>
          <w:rtl w:val="0"/>
        </w:rPr>
        <w:t xml:space="preserve"> it adds Philippine applied-science abstract data to a body of work that has drawn mainly from other regional and disciplinary settings.</w:t>
      </w:r>
      <w:r>
        <w:rPr>
          <w:rtl w:val="0"/>
        </w:rPr>
      </w:r>
    </w:p>
    <w:p w:rsidR="00000000" w:rsidDel="00000000" w:rsidP="00000000" w:rsidRDefault="00000000" w:rsidRPr="00000000" w14:paraId="00000059">
      <w:pPr>
        <w:spacing w:before="0" w:after="0" w:line="480" w:lineRule="auto"/>
        <w:ind w:firstLine="720"/>
        <w:jc w:val="both"/>
        <w:rPr/>
      </w:pPr>
      <w:r>
        <w:rPr>
          <w:b w:val="1"/>
          <w:bCs w:val="1"/>
          <w:rtl w:val="0"/>
        </w:rPr>
        <w:t xml:space="preserve">For the BAELS program,</w:t>
      </w:r>
      <w:r>
        <w:rPr>
          <w:b w:val="0"/>
          <w:bCs w:val="0"/>
          <w:rtl w:val="0"/>
        </w:rPr>
        <w:t xml:space="preserve"> it shows that corpus-assisted discourse analysis is a viable undergraduate thesis methodology and yields findings usable in local writing pedagogy.</w:t>
      </w:r>
      <w:r>
        <w:rPr>
          <w:rtl w:val="0"/>
        </w:rPr>
      </w:r>
    </w:p>
    <w:p w:rsidR="00000000" w:rsidDel="00000000" w:rsidP="00000000" w:rsidRDefault="00000000" w:rsidRPr="00000000" w14:paraId="0000005A">
      <w:pPr>
        <w:spacing w:before="0" w:after="0" w:line="480" w:lineRule="auto"/>
        <w:ind w:firstLine="720"/>
        <w:jc w:val="both"/>
        <w:rPr/>
      </w:pPr>
      <w:r>
        <w:rPr>
          <w:b w:val="1"/>
          <w:bCs w:val="1"/>
          <w:rtl w:val="0"/>
        </w:rPr>
        <w:t xml:space="preserve">For future researchers,</w:t>
      </w:r>
      <w:r>
        <w:rPr>
          <w:b w:val="0"/>
          <w:bCs w:val="0"/>
          <w:rtl w:val="0"/>
        </w:rPr>
        <w:t xml:space="preserve"> the sampling design, coding decision rules, and false-positive log offer a replicable protocol for similar corpus studies.</w:t>
      </w:r>
      <w:r>
        <w:rPr>
          <w:rtl w:val="0"/>
        </w:rPr>
      </w:r>
    </w:p>
    <w:p w:rsidR="00000000" w:rsidDel="00000000" w:rsidP="00000000" w:rsidRDefault="00000000" w:rsidRPr="00000000" w14:paraId="0000005C">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focuses on undergraduate thesis abstracts from Agriculture, Veterinary Medicine, and Biology at PSAU, covering theses completed between 2023 and 2025. The corpus consists of 60 abstracts selected through disproportionate stratified systematic sampling, with discipline as the stratification variable and fixed analytical targets per stratum to ensure equal representation regardless of population size. The distribution includes Biology (n=20), Veterinary Medicine (n=20), and Agriculture (n=20). For the Agriculture discipline, the sample is equally split between Crop Science (n=10) and Animal Science (n=10) to ensure balanced representation of the sub-disciplines. These sub-programs are analyzed as a single “Agriculture” discipline for cross-disciplinary comparison, while sub-program differences are documented separately.</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 xml:space="preserve">This sample size is consistent with comparable corpus-assisted discourse studies at the undergraduate level. Khunasathitchai et al. (2025) analyzed 60 abstracts. Wang (2022) examined a much larger multi-field student corpus (829 papers across 16 fields); the present study does not claim comparable scale or design. For a manually coded functional analysis within a single institution, 60 texts provide sufficient data for identifying patterns without exceeding the analytical capacity of a BA thesis. The study treats its findings as indicative patterns within the PSAU context, supplemented by exploratory inferential analyses (chi-square, Kruskal-Wallis) whose results are reported transparently but should not be treated as confirmatory given the small, zero-inflated sample. However, pilot testing revealed that 75% of the sampled abstracts contained zero hedging devices. The pilot’s 75% zero-hedge rate was higher than the main corpus’s 41.7%, likely reflecting the small pilot sample size (4 abstracts) rather than a systematic difference between the pilot and main corpora. The study acknowledges the high likelihood of a zero-inflated dataset. While the absence of hedging prevents a robust comparative analysis of hedge variety, it is treated in this study as a valid indicator of categorical claim formulation rather than a methodological failure.</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tl w:val="0"/>
        </w:rPr>
        <w:t xml:space="preserve">Reliability was assessed through intra-rater agreement only. A second coder was not available for inter-rater reliability testing, which limits the extent to which the coding scheme can be verified against an independent application of the same decision rules. This limitation particularly affects the functional findings reported in Part III. The uniform assignment of all 65 hedges to the Epistemic Caution function may reflect a single coder's interpretive frame rather than a property of the corpus itself. Future research with inter-rater coding on at least a subset of the corpus is needed to test the robustness of the functional findings before they can be treated as established.</w:t>
      </w:r>
    </w:p>
    <w:p w:rsidR="00000000" w:rsidDel="00000000" w:rsidP="00000000" w:rsidRDefault="00000000" w:rsidRPr="00000000" w14:paraId="00000062">
      <w:pPr>
        <w:spacing w:before="0" w:after="0" w:line="480" w:lineRule="auto"/>
        <w:ind w:firstLine="720"/>
        <w:jc w:val="both"/>
        <w:rPr/>
      </w:pPr>
      <w:r>
        <w:rPr>
          <w:rtl w:val="0"/>
        </w:rPr>
        <w:t xml:space="preserve">The study also lacks a comparable expert-abstract corpus against which to compare the functional findings. The absence of interactional hedges (Politeness, Discourse Organization) in this corpus may reflect genre compression in abstracts rather than writer deficit. Expert abstracts in the same three disciplines, coded with the same scheme, would allow the study to distinguish genre effects from writer-competence effects. Future research with such a comparison corpus is needed before the functional narrowness reported here can be attributed to writer characteristics rather than to genre constraints.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cs="Georgia" w:eastAsia="Georgia" w:hAnsi="Georgia"/>
          <w:b w:val="1"/>
          <w:bCs w:val="1"/>
          <w:i w:val="0"/>
          <w:iCs w:val="0"/>
          <w:sz w:val="22"/>
          <w:szCs w:val="22"/>
          <w:rtl w:val="0"/>
        </w:rPr>
        <w:t xml:space="preserve">Abstract, </w:t>
      </w:r>
      <w:r>
        <w:rPr>
          <w:rFonts w:ascii="Georgia" w:cs="Georgia" w:eastAsia="Georgia" w:hAnsi="Georgia"/>
          <w:b w:val="0"/>
          <w:bCs w:val="0"/>
          <w:i w:val="0"/>
          <w:iCs w:val="0"/>
          <w:sz w:val="22"/>
          <w:szCs w:val="22"/>
          <w:rtl w:val="0"/>
        </w:rPr>
        <w:t xml:space="preserve">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cs="Georgia" w:eastAsia="Georgia" w:hAnsi="Georgia"/>
          <w:b w:val="1"/>
          <w:bCs w:val="1"/>
          <w:i w:val="0"/>
          <w:iCs w:val="0"/>
          <w:sz w:val="22"/>
          <w:szCs w:val="22"/>
          <w:rtl w:val="0"/>
        </w:rPr>
        <w:t xml:space="preserve">Adverbial Hedges, </w:t>
      </w:r>
      <w:r>
        <w:rPr>
          <w:rFonts w:ascii="Georgia" w:cs="Georgia" w:eastAsia="Georgia" w:hAnsi="Georgia"/>
          <w:b w:val="0"/>
          <w:bCs w:val="0"/>
          <w:i w:val="0"/>
          <w:iCs w:val="0"/>
          <w:sz w:val="22"/>
          <w:szCs w:val="22"/>
          <w:rtl w:val="0"/>
        </w:rPr>
        <w:t xml:space="preserve">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cs="Georgia" w:eastAsia="Georgia" w:hAnsi="Georgia"/>
          <w:b w:val="1"/>
          <w:bCs w:val="1"/>
          <w:i w:val="0"/>
          <w:iCs w:val="0"/>
          <w:sz w:val="22"/>
          <w:szCs w:val="22"/>
          <w:rtl w:val="0"/>
        </w:rPr>
        <w:t xml:space="preserve">Applied Life Sciences, </w:t>
      </w:r>
      <w:r>
        <w:rPr>
          <w:rFonts w:ascii="Georgia" w:cs="Georgia" w:eastAsia="Georgia" w:hAnsi="Georgia"/>
          <w:b w:val="0"/>
          <w:bCs w:val="0"/>
          <w:i w:val="0"/>
          <w:iCs w:val="0"/>
          <w:sz w:val="22"/>
          <w:szCs w:val="22"/>
          <w:rtl w:val="0"/>
        </w:rPr>
        <w:t xml:space="preserve">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cs="Georgia" w:eastAsia="Georgia" w:hAnsi="Georgia"/>
          <w:b w:val="1"/>
          <w:bCs w:val="1"/>
          <w:i w:val="0"/>
          <w:iCs w:val="0"/>
          <w:sz w:val="22"/>
          <w:szCs w:val="22"/>
          <w:rtl w:val="0"/>
        </w:rPr>
        <w:t xml:space="preserve">Claim Responsibility, </w:t>
      </w:r>
      <w:r>
        <w:rPr>
          <w:rFonts w:ascii="Georgia" w:cs="Georgia" w:eastAsia="Georgia" w:hAnsi="Georgia"/>
          <w:b w:val="0"/>
          <w:bCs w:val="0"/>
          <w:i w:val="0"/>
          <w:iCs w:val="0"/>
          <w:sz w:val="22"/>
          <w:szCs w:val="22"/>
          <w:rtl w:val="0"/>
        </w:rPr>
        <w:t xml:space="preserve">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B">
      <w:pPr>
        <w:spacing w:before="0" w:after="0" w:line="480" w:lineRule="auto"/>
        <w:ind w:firstLine="720"/>
        <w:jc w:val="both"/>
        <w:rPr/>
      </w:pPr>
      <w:r>
        <w:rPr>
          <w:rFonts w:ascii="Georgia" w:cs="Georgia" w:eastAsia="Georgia" w:hAnsi="Georgia"/>
          <w:b w:val="1"/>
          <w:bCs w:val="1"/>
          <w:i w:val="0"/>
          <w:iCs w:val="0"/>
          <w:sz w:val="22"/>
          <w:szCs w:val="22"/>
          <w:rtl w:val="0"/>
        </w:rPr>
        <w:t xml:space="preserve">Clause-Level Hedges, </w:t>
      </w:r>
      <w:r>
        <w:rPr>
          <w:rFonts w:ascii="Georgia" w:cs="Georgia" w:eastAsia="Georgia" w:hAnsi="Georgia"/>
          <w:b w:val="0"/>
          <w:bCs w:val="0"/>
          <w:i w:val="0"/>
          <w:iCs w:val="0"/>
          <w:sz w:val="22"/>
          <w:szCs w:val="22"/>
          <w:rtl w:val="0"/>
        </w:rPr>
        <w:t xml:space="preserve">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C">
      <w:pPr>
        <w:spacing w:before="0" w:after="0" w:line="480" w:lineRule="auto"/>
        <w:ind w:firstLine="720"/>
        <w:jc w:val="both"/>
        <w:rPr/>
      </w:pPr>
      <w:r>
        <w:rPr>
          <w:rFonts w:ascii="Georgia" w:cs="Georgia" w:eastAsia="Georgia" w:hAnsi="Georgia"/>
          <w:b w:val="1"/>
          <w:bCs w:val="1"/>
          <w:i w:val="0"/>
          <w:iCs w:val="0"/>
          <w:sz w:val="22"/>
          <w:szCs w:val="22"/>
          <w:rtl w:val="0"/>
        </w:rPr>
        <w:t xml:space="preserve">Corpus-Assisted Discourse Analysis, </w:t>
      </w:r>
      <w:r>
        <w:rPr>
          <w:rFonts w:ascii="Georgia" w:cs="Georgia" w:eastAsia="Georgia" w:hAnsi="Georgia"/>
          <w:b w:val="0"/>
          <w:bCs w:val="0"/>
          <w:i w:val="0"/>
          <w:iCs w:val="0"/>
          <w:sz w:val="22"/>
          <w:szCs w:val="22"/>
          <w:rtl w:val="0"/>
        </w:rPr>
        <w:t xml:space="preserve">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cs="Georgia" w:eastAsia="Georgia" w:hAnsi="Georgia"/>
          <w:b w:val="1"/>
          <w:bCs w:val="1"/>
          <w:i w:val="0"/>
          <w:iCs w:val="0"/>
          <w:sz w:val="22"/>
          <w:szCs w:val="22"/>
          <w:rtl w:val="0"/>
        </w:rPr>
        <w:t xml:space="preserve">Disciplinary Variation, </w:t>
      </w:r>
      <w:r>
        <w:rPr>
          <w:rFonts w:ascii="Georgia" w:cs="Georgia" w:eastAsia="Georgia" w:hAnsi="Georgia"/>
          <w:b w:val="0"/>
          <w:bCs w:val="0"/>
          <w:i w:val="0"/>
          <w:iCs w:val="0"/>
          <w:sz w:val="22"/>
          <w:szCs w:val="22"/>
          <w:rtl w:val="0"/>
        </w:rPr>
        <w:t xml:space="preserve">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cs="Georgia" w:eastAsia="Georgia" w:hAnsi="Georgia"/>
          <w:b w:val="1"/>
          <w:bCs w:val="1"/>
          <w:i w:val="0"/>
          <w:iCs w:val="0"/>
          <w:sz w:val="22"/>
          <w:szCs w:val="22"/>
          <w:rtl w:val="0"/>
        </w:rPr>
        <w:t xml:space="preserve">Epistemic Stance, </w:t>
      </w:r>
      <w:r>
        <w:rPr>
          <w:rFonts w:ascii="Georgia" w:cs="Georgia" w:eastAsia="Georgia" w:hAnsi="Georgia"/>
          <w:b w:val="0"/>
          <w:bCs w:val="0"/>
          <w:i w:val="0"/>
          <w:iCs w:val="0"/>
          <w:sz w:val="22"/>
          <w:szCs w:val="22"/>
          <w:rtl w:val="0"/>
        </w:rPr>
        <w:t xml:space="preserve">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tl w:val="0"/>
        </w:rPr>
      </w:r>
    </w:p>
    <w:p w:rsidR="00000000" w:rsidDel="00000000" w:rsidP="00000000" w:rsidRDefault="00000000" w:rsidRPr="00000000" w14:paraId="0000006F">
      <w:pPr>
        <w:spacing w:before="0" w:after="0" w:line="480" w:lineRule="auto"/>
        <w:ind w:firstLine="720"/>
        <w:jc w:val="both"/>
        <w:rPr/>
      </w:pPr>
      <w:r>
        <w:rPr>
          <w:rFonts w:ascii="Georgia" w:cs="Georgia" w:eastAsia="Georgia" w:hAnsi="Georgia"/>
          <w:b w:val="1"/>
          <w:bCs w:val="1"/>
          <w:i w:val="0"/>
          <w:iCs w:val="0"/>
          <w:sz w:val="22"/>
          <w:szCs w:val="22"/>
          <w:rtl w:val="0"/>
        </w:rPr>
        <w:t xml:space="preserve">Hedge Function, </w:t>
      </w:r>
      <w:r>
        <w:rPr>
          <w:rFonts w:ascii="Georgia" w:cs="Georgia" w:eastAsia="Georgia" w:hAnsi="Georgia"/>
          <w:b w:val="0"/>
          <w:bCs w:val="0"/>
          <w:i w:val="0"/>
          <w:iCs w:val="0"/>
          <w:sz w:val="22"/>
          <w:szCs w:val="22"/>
          <w:rtl w:val="0"/>
        </w:rPr>
        <w:t xml:space="preserve">conceptually, hedge function refers to the rhetorical purpose a hedging device serves in its discourse context. Operationally, this refers to three categories coded in this study based on Hyland’s (1998) framework.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cs="Georgia" w:eastAsia="Georgia" w:hAnsi="Georgia"/>
          <w:b w:val="1"/>
          <w:bCs w:val="1"/>
          <w:i w:val="0"/>
          <w:iCs w:val="0"/>
          <w:sz w:val="22"/>
          <w:szCs w:val="22"/>
          <w:rtl w:val="0"/>
        </w:rPr>
        <w:t xml:space="preserve">Hedging, </w:t>
      </w:r>
      <w:r>
        <w:rPr>
          <w:rFonts w:ascii="Georgia" w:cs="Georgia" w:eastAsia="Georgia" w:hAnsi="Georgia"/>
          <w:b w:val="0"/>
          <w:bCs w:val="0"/>
          <w:i w:val="0"/>
          <w:iCs w:val="0"/>
          <w:sz w:val="22"/>
          <w:szCs w:val="22"/>
          <w:rtl w:val="0"/>
        </w:rPr>
        <w:t xml:space="preserve">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71">
      <w:pPr>
        <w:spacing w:before="0" w:after="0" w:line="480" w:lineRule="auto"/>
        <w:ind w:firstLine="720"/>
        <w:jc w:val="both"/>
        <w:rPr/>
      </w:pPr>
      <w:r>
        <w:rPr>
          <w:rFonts w:ascii="Georgia" w:cs="Georgia" w:eastAsia="Georgia" w:hAnsi="Georgia"/>
          <w:b w:val="1"/>
          <w:bCs w:val="1"/>
          <w:i w:val="0"/>
          <w:iCs w:val="0"/>
          <w:sz w:val="22"/>
          <w:szCs w:val="22"/>
          <w:rtl w:val="0"/>
        </w:rPr>
        <w:t xml:space="preserve">Lexical Hedges, </w:t>
      </w:r>
      <w:r>
        <w:rPr>
          <w:rFonts w:ascii="Georgia" w:cs="Georgia" w:eastAsia="Georgia" w:hAnsi="Georgia"/>
          <w:b w:val="0"/>
          <w:bCs w:val="0"/>
          <w:i w:val="0"/>
          <w:iCs w:val="0"/>
          <w:sz w:val="22"/>
          <w:szCs w:val="22"/>
          <w:rtl w:val="0"/>
        </w:rPr>
        <w:t xml:space="preserve">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rsidR="00000000" w:rsidDel="00000000" w:rsidP="00000000" w:rsidRDefault="00000000" w:rsidRPr="00000000" w14:paraId="00000072">
      <w:pPr>
        <w:spacing w:before="0" w:after="0" w:line="480" w:lineRule="auto"/>
        <w:ind w:firstLine="720"/>
        <w:jc w:val="both"/>
        <w:rPr/>
      </w:pPr>
      <w:r>
        <w:rPr>
          <w:rFonts w:ascii="Georgia" w:cs="Georgia" w:eastAsia="Georgia" w:hAnsi="Georgia"/>
          <w:b w:val="1"/>
          <w:bCs w:val="1"/>
          <w:i w:val="0"/>
          <w:iCs w:val="0"/>
          <w:sz w:val="22"/>
          <w:szCs w:val="22"/>
          <w:rtl w:val="0"/>
        </w:rPr>
        <w:t xml:space="preserve">Modal Verbs, </w:t>
      </w:r>
      <w:r>
        <w:rPr>
          <w:rFonts w:ascii="Georgia" w:cs="Georgia" w:eastAsia="Georgia" w:hAnsi="Georgia"/>
          <w:b w:val="0"/>
          <w:bCs w:val="0"/>
          <w:i w:val="0"/>
          <w:iCs w:val="0"/>
          <w:sz w:val="22"/>
          <w:szCs w:val="22"/>
          <w:rtl w:val="0"/>
        </w:rPr>
        <w:t xml:space="preserve">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cs="Georgia" w:eastAsia="Georgia" w:hAnsi="Georgia"/>
          <w:b w:val="1"/>
          <w:bCs w:val="1"/>
          <w:i w:val="0"/>
          <w:iCs w:val="0"/>
          <w:sz w:val="22"/>
          <w:szCs w:val="22"/>
          <w:rtl w:val="0"/>
        </w:rPr>
        <w:t xml:space="preserve">Normalized Frequency, </w:t>
      </w:r>
      <w:r>
        <w:rPr>
          <w:rFonts w:ascii="Georgia" w:cs="Georgia" w:eastAsia="Georgia" w:hAnsi="Georgia"/>
          <w:b w:val="0"/>
          <w:bCs w:val="0"/>
          <w:i w:val="0"/>
          <w:iCs w:val="0"/>
          <w:sz w:val="22"/>
          <w:szCs w:val="22"/>
          <w:rtl w:val="0"/>
        </w:rPr>
        <w:t xml:space="preserve">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Pro Forma Hedging, </w:t>
      </w:r>
      <w:r>
        <w:rPr>
          <w:rFonts w:ascii="Georgia" w:cs="Georgia" w:eastAsia="Georgia" w:hAnsi="Georgia"/>
          <w:b w:val="0"/>
          <w:bCs w:val="0"/>
          <w:i w:val="0"/>
          <w:iCs w:val="0"/>
          <w:sz w:val="22"/>
          <w:szCs w:val="22"/>
          <w:rtl w:val="0"/>
        </w:rPr>
        <w:t xml:space="preserve">conceptually, pro forma hedging refers to the deployment of hedge-like lexical items (e.g., potential) in formulaic syntactic frames with limited commitment calibration to the claim. Operationally, this term is applied in the present study to the observed pattern where a single lexical token (“potential”) appears in nearly identical syntactic positions across multiple abstracts while all hedges serve a single function. The term is offered as a descriptive label, not as an established construct in the hedging literature.</w:t>
      </w:r>
      <w:r>
        <w:rPr>
          <w:rtl w:val="0"/>
        </w:rPr>
      </w:r>
    </w:p>
    <w:p w:rsidR="00000000" w:rsidDel="00000000" w:rsidP="00000000" w:rsidRDefault="00000000" w:rsidRPr="00000000" w14:paraId="00000077">
      <w:pPr>
        <w:keepLines w:val="1"/>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Hedging is not a standard component of academic writing curricula in most Philippine universities, which tend to emphasize structure and grammatical correctness. Developing researchers writing thesis abstracts were therefore producing a genre that demanded hedging with limited explicit preparation for its epistemic requirements. These conditions made PSAU a representative site for examining developing researchers' disciplinary hedging in the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r>
        <w:rPr>
          <w:rtl w:val="0"/>
        </w:rPr>
      </w:r>
    </w:p>
    <w:p w:rsidR="00000000" w:rsidDel="00000000" w:rsidP="00000000" w:rsidRDefault="00000000" w:rsidRPr="00000000" w14:paraId="00000082">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cs="Georgia" w:eastAsia="Georgia" w:hAnsi="Georgia"/>
          <w:b w:val="1"/>
          <w:bCs w:val="1"/>
          <w:i w:val="0"/>
          <w:iCs w:val="0"/>
          <w:sz w:val="22"/>
          <w:szCs w:val="22"/>
          <w:rtl w:val="0"/>
        </w:rPr>
        <w:t xml:space="preserve">a. Requesting Permission. </w:t>
      </w:r>
      <w:r>
        <w:rPr>
          <w:rFonts w:ascii="Georgia" w:cs="Georgia" w:eastAsia="Georgia" w:hAnsi="Georgia"/>
          <w:b w:val="0"/>
          <w:bCs w:val="0"/>
          <w:i w:val="0"/>
          <w:iCs w:val="0"/>
          <w:sz w:val="22"/>
          <w:szCs w:val="22"/>
          <w:rtl w:val="0"/>
        </w:rPr>
        <w:t xml:space="preserve">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cs="Georgia" w:eastAsia="Georgia" w:hAnsi="Georgia"/>
          <w:b w:val="1"/>
          <w:bCs w:val="1"/>
          <w:i w:val="0"/>
          <w:iCs w:val="0"/>
          <w:sz w:val="22"/>
          <w:szCs w:val="22"/>
          <w:rtl w:val="0"/>
        </w:rPr>
        <w:t xml:space="preserve">b. Corpus Construction. </w:t>
      </w:r>
      <w:r>
        <w:rPr>
          <w:rFonts w:ascii="Georgia" w:cs="Georgia" w:eastAsia="Georgia" w:hAnsi="Georgia"/>
          <w:b w:val="0"/>
          <w:bCs w:val="0"/>
          <w:i w:val="0"/>
          <w:iCs w:val="0"/>
          <w:sz w:val="22"/>
          <w:szCs w:val="22"/>
          <w:rtl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 Animal Science, and n=10 for Agriculture —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cs="Georgia" w:eastAsia="Georgia" w:hAnsi="Georgia"/>
          <w:b w:val="1"/>
          <w:bCs w:val="1"/>
          <w:i w:val="0"/>
          <w:iCs w:val="0"/>
          <w:sz w:val="22"/>
          <w:szCs w:val="22"/>
          <w:rtl w:val="0"/>
        </w:rPr>
        <w:t xml:space="preserve">c. Text Extraction. </w:t>
      </w:r>
      <w:r>
        <w:rPr>
          <w:rFonts w:ascii="Georgia" w:cs="Georgia" w:eastAsia="Georgia" w:hAnsi="Georgia"/>
          <w:b w:val="0"/>
          <w:bCs w:val="0"/>
          <w:i w:val="0"/>
          <w:iCs w:val="0"/>
          <w:sz w:val="22"/>
          <w:szCs w:val="22"/>
          <w:rtl w:val="0"/>
        </w:rPr>
        <w:t xml:space="preserve">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cs="Georgia" w:eastAsia="Georgia" w:hAnsi="Georgia"/>
          <w:b w:val="1"/>
          <w:bCs w:val="1"/>
          <w:i w:val="0"/>
          <w:iCs w:val="0"/>
          <w:sz w:val="22"/>
          <w:szCs w:val="22"/>
          <w:rtl w:val="0"/>
        </w:rPr>
        <w:t xml:space="preserve">d. Pilot Testing and Reliability Checking. </w:t>
      </w:r>
      <w:r>
        <w:rPr>
          <w:rFonts w:ascii="Georgia" w:cs="Georgia" w:eastAsia="Georgia" w:hAnsi="Georgia"/>
          <w:b w:val="0"/>
          <w:bCs w:val="0"/>
          <w:i w:val="0"/>
          <w:iCs w:val="0"/>
          <w:sz w:val="22"/>
          <w:szCs w:val="22"/>
          <w:rtl w:val="0"/>
        </w:rPr>
        <w:t xml:space="preserve">A pilot test was conducted on 4 abstracts not included in the final corpus to refine the coding scheme and establish decision rules for ambiguous cases (see Appendix A). Pilot abstracts were drawn from the PSAU library archives but from theses completed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cs="Georgia" w:eastAsia="Georgia" w:hAnsi="Georgia"/>
          <w:b w:val="1"/>
          <w:bCs w:val="1"/>
          <w:i w:val="0"/>
          <w:iCs w:val="0"/>
          <w:sz w:val="22"/>
          <w:szCs w:val="22"/>
          <w:rtl w:val="0"/>
        </w:rPr>
        <w:t xml:space="preserve">e. Data Analysis. </w:t>
      </w:r>
      <w:r>
        <w:rPr>
          <w:rFonts w:ascii="Georgia" w:cs="Georgia" w:eastAsia="Georgia" w:hAnsi="Georgia"/>
          <w:b w:val="0"/>
          <w:bCs w:val="0"/>
          <w:i w:val="0"/>
          <w:iCs w:val="0"/>
          <w:sz w:val="22"/>
          <w:szCs w:val="22"/>
          <w:rtl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r>
        <w:rPr>
          <w:rtl w:val="0"/>
        </w:rPr>
      </w:r>
    </w:p>
    <w:p w:rsidR="00000000" w:rsidDel="00000000" w:rsidP="00000000" w:rsidRDefault="00000000" w:rsidRPr="00000000" w14:paraId="0000008C">
      <w:pPr>
        <w:spacing w:before="0" w:after="0" w:line="480" w:lineRule="auto"/>
        <w:ind w:firstLine="720"/>
        <w:jc w:val="both"/>
        <w:rPr/>
      </w:pPr>
      <w:r>
        <w:rPr>
          <w:rFonts w:ascii="Georgia" w:cs="Georgia" w:eastAsia="Georgia" w:hAnsi="Georgia"/>
          <w:b w:val="1"/>
          <w:bCs w:val="1"/>
          <w:i w:val="0"/>
          <w:iCs w:val="0"/>
          <w:sz w:val="22"/>
          <w:szCs w:val="22"/>
          <w:rtl w:val="0"/>
        </w:rPr>
        <w:t xml:space="preserve">f. Timeline. </w:t>
      </w:r>
      <w:r>
        <w:rPr>
          <w:rFonts w:ascii="Georgia" w:cs="Georgia" w:eastAsia="Georgia" w:hAnsi="Georgia"/>
          <w:b w:val="0"/>
          <w:bCs w:val="0"/>
          <w:i w:val="0"/>
          <w:iCs w:val="0"/>
          <w:sz w:val="22"/>
          <w:szCs w:val="22"/>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results and conclusion frames that qualify a finding-claim are coded Lexical EC. The Working Test is applied as a secondary check: when removing the token clearly changes commitment to a proposition (e.g., "presence of potential mycobacterial infections" → "presence of mycobacterial infections"), the token is coded Lexical EC even in an aim or rationale sentence. This differs from pure topic-naming aims such as “explores the potential antifungal properties” (VM5) or “their potential pharmaceutical applications” (B17), where removing the token leaves a research-object name rather than an asserted existence claim; those remain FP-Gen. The same position-based treatment applies to “possibility + noun” in aim and methods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r>
        <w:rPr>
          <w:rtl w:val="0"/>
        </w:rPr>
      </w:r>
    </w:p>
    <w:p w:rsidR="00000000" w:rsidDel="00000000" w:rsidP="00000000" w:rsidRDefault="00000000" w:rsidRPr="00000000" w14:paraId="00000091">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uses a text corpus rather than human participants. The corpus consists of 60 undergraduate thesis abstracts from Agriculture, Veterinary Medicine, and Biology programs at PSAU. This study employs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means the sampling rate varies by population size, prioritizing equal sample sizes over proportional representation. For the Agriculture discipline, the sample is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comparable scale. For a manually coded functional analysis at a single institution, 60 texts allow sufficient depth of interpretation within the timeframe and resources of a BA thesis. The study treats findings as baseline descriptive data for institutional curriculum review.</w:t>
      </w:r>
      <w:r>
        <w:rPr>
          <w:rtl w:val="0"/>
        </w:rPr>
      </w:r>
    </w:p>
    <w:p>
      <w:pPr>
        <w:keepNext w:val="1"/>
        <w:keepLines w:val="1"/>
        <w:spacing w:before="720" w:after="0" w:line="480" w:lineRule="auto"/>
        <w:jc w:val="center"/>
      </w:pPr>
      <w:r>
        <w:rPr>
          <w:rFonts w:ascii="Georgia" w:hAnsi="Georgia"/>
          <w:b/>
          <w:sz w:val="24"/>
        </w:rPr>
        <w:t>Table 1</w:t>
      </w:r>
    </w:p>
    <w:p>
      <w:pPr>
        <w:keepNext w:val="1"/>
        <w:keepLines w:val="1"/>
        <w:spacing w:before="0" w:after="60" w:line="480" w:lineRule="auto"/>
        <w:jc w:val="center"/>
      </w:pPr>
      <w:r>
        <w:rPr>
          <w:rFonts w:ascii="Georgia" w:hAnsi="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val="1"/>
          <w:tblHeader w:val="0"/>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val="1"/>
          <w:tblHeader w:val="0"/>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val="1"/>
          <w:tblHeader w:val="0"/>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val="1"/>
          <w:tblHeader w:val="0"/>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cs="Georgia" w:eastAsia="Georgia" w:hAnsi="Georgia"/>
          <w:b w:val="1"/>
          <w:bCs w:val="1"/>
          <w:i w:val="0"/>
          <w:iCs w:val="0"/>
          <w:sz w:val="22"/>
          <w:szCs w:val="22"/>
          <w:rtl w:val="0"/>
        </w:rPr>
        <w:t xml:space="preserve">Inclusion Criteria. </w:t>
      </w:r>
      <w:r>
        <w:rPr>
          <w:rFonts w:ascii="Georgia" w:cs="Georgia" w:eastAsia="Georgia" w:hAnsi="Georgia"/>
          <w:b w:val="0"/>
          <w:bCs w:val="0"/>
          <w:i w:val="0"/>
          <w:iCs w:val="0"/>
          <w:sz w:val="22"/>
          <w:szCs w:val="22"/>
          <w:rtl w:val="0"/>
        </w:rPr>
        <w:t xml:space="preserve">English-language undergraduate thesis abstracts; complete abstracts available in the PSAU library archives; clear disciplinary classification based on official degree program; thesis completion between 2023 and 2025.</w:t>
      </w:r>
      <w:r>
        <w:rPr>
          <w:rtl w:val="0"/>
        </w:rPr>
      </w:r>
    </w:p>
    <w:p w:rsidR="00000000" w:rsidDel="00000000" w:rsidP="00000000" w:rsidRDefault="00000000" w:rsidRPr="00000000" w14:paraId="000000C0">
      <w:pPr>
        <w:spacing w:before="0" w:after="0" w:line="480" w:lineRule="auto"/>
        <w:ind w:firstLine="720"/>
        <w:jc w:val="both"/>
        <w:rPr/>
      </w:pPr>
      <w:r>
        <w:rPr>
          <w:rFonts w:ascii="Georgia" w:cs="Georgia" w:eastAsia="Georgia" w:hAnsi="Georgia"/>
          <w:b w:val="1"/>
          <w:bCs w:val="1"/>
          <w:i w:val="0"/>
          <w:iCs w:val="0"/>
          <w:sz w:val="22"/>
          <w:szCs w:val="22"/>
          <w:rtl w:val="0"/>
        </w:rPr>
        <w:t xml:space="preserve">Exclusion Criteria. </w:t>
      </w:r>
      <w:r>
        <w:rPr>
          <w:rFonts w:ascii="Georgia" w:cs="Georgia" w:eastAsia="Georgia" w:hAnsi="Georgia"/>
          <w:b w:val="0"/>
          <w:bCs w:val="0"/>
          <w:i w:val="0"/>
          <w:iCs w:val="0"/>
          <w:sz w:val="22"/>
          <w:szCs w:val="22"/>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completed before 2023.</w:t>
      </w:r>
      <w:r>
        <w:rPr>
          <w:rtl w:val="0"/>
        </w:rPr>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Ethical Considerations. </w:t>
      </w:r>
      <w:r>
        <w:rPr>
          <w:rFonts w:ascii="Georgia" w:cs="Georgia" w:eastAsia="Georgia" w:hAnsi="Georgia"/>
          <w:b w:val="0"/>
          <w:bCs w:val="0"/>
          <w:i w:val="0"/>
          <w:iCs w:val="0"/>
          <w:sz w:val="22"/>
          <w:szCs w:val="22"/>
          <w:rtl w:val="0"/>
        </w:rPr>
        <w:t xml:space="preserve">Abstracts were accessed on-site at the PSAU Library with proper authorization. Student names and thesis titles were fully anonymized using discipline codes (Acs1–Acs10, Aas1–Aas10, VM1–VM20, B1–B20) before analysis began. The study analyzed linguistic patterns in text, not student performance or personal information. All data files were stored on password-protected devices and encrypted cloud storage accessible only to the researcher and thesis adviser. These files will be retained for five years to support verification of coding decisions by future researchers and to allow for follow-up comparative studies, after which they will be permanently deleted in line with standard academic data retention practice.</w:t>
      </w:r>
      <w:r>
        <w:rPr>
          <w:rtl w:val="0"/>
        </w:rPr>
      </w:r>
    </w:p>
    <w:p w:rsidR="00000000" w:rsidDel="00000000" w:rsidP="00000000" w:rsidRDefault="00000000" w:rsidRPr="00000000" w14:paraId="000000C4">
      <w:pPr>
        <w:keepLines w:val="1"/>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what the frequency and functional patterns suggest about the discipline-specific hedging profile of developing researchers.</w:t>
      </w:r>
      <w:r>
        <w:rPr>
          <w:rtl w:val="0"/>
        </w:rPr>
      </w:r>
    </w:p>
    <w:p w:rsidR="00000000" w:rsidDel="00000000" w:rsidP="00000000" w:rsidRDefault="00000000" w:rsidRPr="00000000" w14:paraId="000000CA">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65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pPr>
        <w:keepNext w:val="1"/>
        <w:keepLines w:val="1"/>
        <w:spacing w:before="720" w:after="0" w:line="480" w:lineRule="auto"/>
        <w:jc w:val="center"/>
      </w:pPr>
      <w:r>
        <w:rPr>
          <w:rFonts w:ascii="Georgia" w:hAnsi="Georgia"/>
          <w:b/>
          <w:sz w:val="24"/>
        </w:rPr>
        <w:t>Table 2</w:t>
      </w:r>
    </w:p>
    <w:p>
      <w:pPr>
        <w:keepNext w:val="1"/>
        <w:keepLines w:val="1"/>
        <w:spacing w:before="0" w:after="60" w:line="480" w:lineRule="auto"/>
        <w:jc w:val="center"/>
      </w:pPr>
      <w:r>
        <w:rPr>
          <w:rFonts w:ascii="Georgia" w:hAnsi="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val="1"/>
          <w:tblHeader w:val="0"/>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val="1"/>
          <w:tblHeader w:val="0"/>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val="1"/>
          <w:tblHeader w:val="0"/>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included “suggests” (7), “suggest” (3), “suggesting” (3), and “indicating” (2). Modal verbs were led by “can” (6), “could” (6), “may” (6), and “might” (3). Concordance of the 19 potential instances shows recurring frames such as “the potential of X as a Y,” “has potential as an X,” and “highlight their potential as X.” That recurrence supports reading many uses as learned formula rather than fully calibrated epistemic choice. Agriculture and Biology account for 15 of the 19 instances; Veterinary Medicine for 4.</w:t>
      </w:r>
      <w:r>
        <w:rPr>
          <w:rtl w:val="0"/>
        </w:rPr>
      </w:r>
    </w:p>
    <w:p w:rsidR="00000000" w:rsidDel="00000000" w:rsidP="00000000" w:rsidRDefault="00000000" w:rsidRPr="00000000" w14:paraId="000000E3">
      <w:pPr>
        <w:spacing w:before="0" w:after="0" w:line="480" w:lineRule="auto"/>
        <w:ind w:firstLine="720"/>
        <w:jc w:val="both"/>
        <w:rPr/>
      </w:pPr>
      <w:r>
        <w:rPr>
          <w:rFonts w:ascii="Georgia" w:cs="Georgia" w:eastAsia="Georgia" w:hAnsi="Georgia"/>
          <w:b w:val="0"/>
          <w:bCs w:val="0"/>
          <w:i w:val="0"/>
          <w:iCs w:val="0"/>
          <w:sz w:val="22"/>
          <w:szCs w:val="22"/>
          <w:rtl w:val="0"/>
        </w:rPr>
        <w:t xml:space="preserve">The distribution of hedge types also varies meaningfully across disciplines. Table 3 presents the per-discipline breakdown of hedge types.</w:t>
      </w:r>
      <w:r>
        <w:rPr>
          <w:rtl w:val="0"/>
        </w:rPr>
      </w:r>
    </w:p>
    <w:p>
      <w:pPr>
        <w:keepNext w:val="1"/>
        <w:keepLines w:val="1"/>
        <w:spacing w:before="720" w:after="0" w:line="480" w:lineRule="auto"/>
        <w:jc w:val="center"/>
      </w:pPr>
      <w:r>
        <w:rPr>
          <w:rFonts w:ascii="Georgia" w:hAnsi="Georgia"/>
          <w:b/>
          <w:sz w:val="24"/>
        </w:rPr>
        <w:t>Table 3</w:t>
      </w:r>
    </w:p>
    <w:p>
      <w:pPr>
        <w:keepNext w:val="1"/>
        <w:keepLines w:val="1"/>
        <w:spacing w:before="0" w:after="60" w:line="480" w:lineRule="auto"/>
        <w:jc w:val="center"/>
      </w:pPr>
      <w:r>
        <w:rPr>
          <w:rFonts w:ascii="Georgia" w:hAnsi="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val="1"/>
          <w:tblHeader w:val="0"/>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val="1"/>
          <w:tblHeader w:val="0"/>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val="1"/>
          <w:tblHeader w:val="0"/>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val="1"/>
          <w:tblHeader w:val="0"/>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cs="Georgia" w:eastAsia="Georgia" w:hAnsi="Georgia"/>
          <w:b w:val="0"/>
          <w:bCs w:val="0"/>
          <w:i w:val="0"/>
          <w:iCs w:val="0"/>
          <w:sz w:val="22"/>
          <w:szCs w:val="22"/>
          <w:rtl w:val="0"/>
        </w:rPr>
        <w:t xml:space="preserve">Table 3 reveals that Agriculture has a nearly balanced distribution (14 modal verbs, 51.9% vs. 13 lexical hedges, 48.1%), while Biology is heavily lexical (20 of 28 hedges, 71.4%, with only 5 modal verbs). Veterinary Medicine, with only 10 total hedges, is also predominantly lexical (8 of 10, 80.0%). This pattern suggests that Agriculture is the only discipline where modal verbs are used with any frequency, possibly reflecting a rhetorical style where writers are more comfortable expressing possibility directly through modal constructions. Biology’s heavy reliance on lexical hedges, particularly “potential,” suggests a preference for qualifying implications at the word level rather than managing uncertainty through modal verbs. The near-absence of adverbial hedges across all disciplines (only 3 instances, all in Biology) further confirms the narrowness of the hedging repertoire in this corpus.</w:t>
      </w:r>
      <w:r>
        <w:rPr>
          <w:rtl w:val="0"/>
        </w:rPr>
      </w:r>
    </w:p>
    <w:p w:rsidR="00000000" w:rsidDel="00000000" w:rsidP="00000000" w:rsidRDefault="00000000" w:rsidRPr="00000000" w14:paraId="0000010B">
      <w:pPr>
        <w:spacing w:before="0" w:after="0" w:line="480" w:lineRule="auto"/>
        <w:ind w:firstLine="720"/>
        <w:jc w:val="both"/>
        <w:rPr/>
      </w:pPr>
      <w:r>
        <w:rPr>
          <w:rFonts w:ascii="Georgia" w:cs="Georgia" w:eastAsia="Georgia" w:hAnsi="Georgia"/>
          <w:b w:val="0"/>
          <w:bCs w:val="0"/>
          <w:i w:val="0"/>
          <w:iCs w:val="0"/>
          <w:sz w:val="22"/>
          <w:szCs w:val="22"/>
          <w:rtl w:val="0"/>
        </w:rPr>
        <w:t xml:space="preserve">The absence of clause-level hedges is consistent with findings that developing researchers rarely use complex syntactic structures for epistemic management (Hyland &amp; Milton, 1997). Clause-level hedges such as “it seems that” or “it is possible that” require a degree of syntactic sophistication and rhetorical awareness that these researchers may not yet have developed. Their absence in this corpus suggests that PSAU researchers rely on simpler, word-level devices rather than clause-level constructions to manage uncertainty.</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after applying the codebook’s Working Test.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the Working Test as a secondary check. The rule remains the most methodologically interesting feature of the coding scheme: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cs="Georgia" w:eastAsia="Georgia" w:hAnsi="Georgia"/>
          <w:b w:val="0"/>
          <w:bCs w:val="0"/>
          <w:i w:val="0"/>
          <w:iCs w:val="0"/>
          <w:sz w:val="22"/>
          <w:szCs w:val="22"/>
          <w:rtl w:val="0"/>
        </w:rPr>
        <w:t>Additionally, 32 unhedged assertion sites were identified in the 25 zero-hedge abstracts. Of these, 20 were classified as result claims [R], 8 as generalizations [G], and 4 as causal claims [C]. (Five further unhedged sites appear in abstracts that also contain coded hedges (B11, B12, VM9) and are excluded from this zero-hedge count; Table 4’s L3 column reports the corpus-wide total of 37.) These sites represent clauses where a hedge could have been inserted without changing the underlying facts, but no hedge was used. The presence of these unhedged sites in zero-hedge abstracts records an absence of overt hedging; it does not by itself establish that the writer intended absolute commitment, especially where the underlying finding is binary or measured. Expert research articles rarely contain zero hedges (Hyland, 1998), making the 41.7% zero-hedge rate in this corpus a sharp departure from expert norms.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and the count was not run on the hedged abstracts, so no comparison group exists. The observation is descriptive only: some zero-hedge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cs="Georgia" w:eastAsia="Georgia" w:hAnsi="Georgia"/>
          <w:b w:val="0"/>
          <w:bCs w:val="0"/>
          <w:i w:val="0"/>
          <w:iCs w:val="0"/>
          <w:sz w:val="22"/>
          <w:szCs w:val="22"/>
          <w:rtl w:val="0"/>
        </w:rPr>
        <w:t xml:space="preserve">Cross-disciplinary comparison reveals substantial variation in hedge density. Table 4 presents the hedge counts, false positives, unhedged sites, and normalized frequency (hedges per 100 words) for each discipline.</w:t>
      </w:r>
      <w:r>
        <w:rPr>
          <w:rtl w:val="0"/>
        </w:rPr>
      </w:r>
    </w:p>
    <w:p>
      <w:pPr>
        <w:keepNext w:val="1"/>
        <w:keepLines w:val="1"/>
        <w:spacing w:before="720" w:after="0" w:line="480" w:lineRule="auto"/>
        <w:jc w:val="center"/>
      </w:pPr>
      <w:r>
        <w:rPr>
          <w:rFonts w:ascii="Georgia" w:hAnsi="Georgia"/>
          <w:b/>
          <w:sz w:val="24"/>
        </w:rPr>
        <w:t>Table 4</w:t>
      </w:r>
    </w:p>
    <w:p>
      <w:pPr>
        <w:keepNext w:val="1"/>
        <w:keepLines w:val="1"/>
        <w:spacing w:before="0" w:after="60" w:line="480" w:lineRule="auto"/>
        <w:jc w:val="center"/>
      </w:pPr>
      <w:r>
        <w:rPr>
          <w:rFonts w:ascii="Georgia" w:hAnsi="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val="1"/>
          <w:tblHeader w:val="1"/>
        </w:trPr>
        <w:tc>
          <w:tcPr>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9">
            <w:pPr>
              <w:spacing w:before="0" w:after="0" w:line="240" w:lineRule="auto"/>
              <w:rPr/>
            </w:pPr>
            <w:r>
              <w:rPr>
                <w:rFonts w:ascii="Georgia" w:cs="Georgia" w:eastAsia="Georgia" w:hAnsi="Georgia"/>
                <w:b w:val="1"/>
                <w:bCs w:val="1"/>
                <w:i w:val="0"/>
                <w:iCs w:val="0"/>
                <w:sz w:val="18"/>
                <w:szCs w:val="18"/>
                <w:rtl w:val="0"/>
              </w:rPr>
              <w:t xml:space="preserve">L3 Sites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val="1"/>
          <w:tblHeader w:val="0"/>
        </w:trPr>
        <w:tc>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val="1"/>
          <w:tblHeader w:val="0"/>
        </w:trPr>
        <w:tc>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val="1"/>
          <w:tblHeader w:val="0"/>
        </w:trPr>
        <w:tc>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15</w:t>
            </w:r>
            <w:r>
              <w:rPr>
                <w:rtl w:val="0"/>
                <w:sz w:val="18"/>
                <w:szCs w:val="18"/>
                <w:rFonts w:ascii="Georgia" w:hAnsi="Georgia"/>
              </w:rPr>
            </w:r>
          </w:p>
        </w:tc>
        <w:tc>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val="1"/>
          <w:tblHeader w:val="0"/>
        </w:trPr>
        <w:tc>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37</w:t>
            </w:r>
            <w:r>
              <w:rPr>
                <w:rtl w:val="0"/>
                <w:sz w:val="18"/>
                <w:szCs w:val="18"/>
                <w:rFonts w:ascii="Georgia" w:hAnsi="Georgia"/>
              </w:rPr>
            </w:r>
          </w:p>
        </w:tc>
        <w:tc>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4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ungsuh" w:cs="Gungsuh" w:eastAsia="Gungsuh" w:hAnsi="Gungsuh"/>
          <w:b w:val="0"/>
          <w:bCs w:val="0"/>
          <w:i w:val="0"/>
          <w:iCs w:val="0"/>
          <w:sz w:val="22"/>
          <w:szCs w:val="22"/>
          <w:rtl w:val="0"/>
        </w:rPr>
        <w:t>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counts yielded H ≈ 6.84, p ≈ .033. Given the small sample size and zero-inflated distribution, this result is treated as exploratory rather than as confirmatory evidence of a disciplinary difference. With only 65 tokens across three groups and no correction for multiple tests, the p-values are fragile. A sensitivity check that removes all 19 instances of "potential" leaves 46 hedges; the Kruskal-Wallis contrast remains significant in the same direction (approximately p ≈ .025), and Veterinary Medicine’s zero-hedge share rises further. The directional pattern is therefore not an artifact of the "potential" tokens alone.</w:t>
      </w:r>
      <w:r>
        <w:rPr>
          <w:rtl w:val="0"/>
        </w:rPr>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 xml:space="preserve">Veterinary Medicine’s low density is more difficult to interpret. One possible explanation relates to the nature of VM research in this corpus. Many VM abstracts reported clinical findings from animal studies (e.g., drug efficacy trials, disease detection, hematological profiling). Several abstracts in the VM subset involved diagnostic or presence/absence-type outcomes, which may provide one possible explanation for the relatively categorical reporting observed in this corpus. A writer who finds that “no positive results were observed” may see little need to hedge, since the absence of a finding is reported as a fact rather than an interpretation. This is consistent with Salager-Meyer’s (1994) claim-responsibility framework: when the evidence is binary, the epistemic responsibility is lower, and hedging becomes less necessary.</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The false positive distribution also varies by discipline. Biology produced 32 false positives, far more than Agriculture (14) or Veterinary Medicine (12).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 xml:space="preserve">All 65 hedge tokens in the corpus served the function of Epistemic Caution (EC). No instances of Politeness/Deference (P) or Discourse Organization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sz w:val="22"/>
          <w:szCs w:val="22"/>
          <w:rtl w:val="0"/>
        </w:rPr>
        <w:t xml:space="preserve"> were identified. Table 5 presents the function distribution.</w:t>
      </w:r>
      <w:r>
        <w:rPr>
          <w:rtl w:val="0"/>
        </w:rPr>
      </w:r>
    </w:p>
    <w:p>
      <w:pPr>
        <w:keepNext w:val="1"/>
        <w:keepLines w:val="1"/>
        <w:spacing w:before="720" w:after="0" w:line="480" w:lineRule="auto"/>
        <w:jc w:val="center"/>
      </w:pPr>
      <w:r>
        <w:rPr>
          <w:rFonts w:ascii="Georgia" w:hAnsi="Georgia"/>
          <w:b/>
          <w:sz w:val="24"/>
        </w:rPr>
        <w:t>Table 5</w:t>
      </w:r>
    </w:p>
    <w:p>
      <w:pPr>
        <w:keepNext w:val="1"/>
        <w:keepLines w:val="1"/>
        <w:spacing w:before="0" w:after="60" w:line="480" w:lineRule="auto"/>
        <w:jc w:val="center"/>
      </w:pPr>
      <w:r>
        <w:rPr>
          <w:rFonts w:ascii="Georgia" w:hAnsi="Georgia"/>
          <w:sz w:val="24"/>
        </w:rPr>
        <w:t>Hedge Function Distribution</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val="1"/>
          <w:tblHeader w:val="0"/>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cantSplit w:val="1"/>
          <w:tblHeader w:val="0"/>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 xml:space="preserve">Discourse Organization </w:t>
            </w:r>
            <w:r>
              <w:rPr>
                <w:rFonts w:ascii="Georgia" w:cs="Georgia" w:eastAsia="Georgia" w:hAnsi="Georgia"/>
                <w:b w:val="0"/>
                <w:bCs w:val="0"/>
                <w:i w:val="0"/>
                <w:iCs w:val="0"/>
                <w:sz w:val="18"/>
                <w:szCs w:val="18"/>
                <w:rtl w:val="0"/>
                <w:color w:val="00B0F0"/>
              </w:rPr>
              <w:t xml:space="preserve">(DO)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val="1"/>
          <w:tblHeader w:val="0"/>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tl w:val="0"/>
        </w:rPr>
        <w:t xml:space="preserve">The uniform assignment may reflect a restricted repertoire, the compressed abstract genre, the coding scheme, or single-rater interpretation; that limitation is noted in Scope. The narrow functional range is consistent with earlier findings on developing L2 writers (Hyland &amp; Milton, 1997).</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fall in implication and conclusion sentences rather than in direct results reporting. Forms such as potential and suggests/suggesting typically frame applications or interpretations, while results sentences more often use factive verbs (showed, revealed, demonstrated) without qualification. A formal move-structured count was not performed; this remains a qualitative pattern.</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That uniformity is partly built into the Working Test, which screens for epistemic effect; the data therefore cannot strongly support a claim about how writers “view” hedging, only that the retained tokens functioned epistemically under this scheme.</w:t>
      </w:r>
      <w:r>
        <w:rPr>
          <w:rtl w:val="0"/>
        </w:rPr>
      </w:r>
    </w:p>
    <w:p w:rsidR="00000000" w:rsidDel="00000000" w:rsidP="00000000" w:rsidRDefault="00000000" w:rsidRPr="00000000" w14:paraId="0000015F">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PART IV: DISCIPLINE-SPECIFIC HEDGING PROFILES</w:t>
      </w:r>
      <w:r>
        <w:rPr>
          <w:rtl w:val="0"/>
        </w:rPr>
      </w:r>
    </w:p>
    <w:p w:rsidR="00000000" w:rsidDel="00000000" w:rsidP="00000000" w:rsidRDefault="00000000" w:rsidRPr="00000000" w14:paraId="00000160">
      <w:pPr>
        <w:spacing w:before="0" w:after="0" w:line="480" w:lineRule="auto"/>
        <w:ind w:firstLine="720"/>
        <w:jc w:val="both"/>
        <w:rPr/>
      </w:pPr>
      <w:r>
        <w:rPr>
          <w:rFonts w:ascii="Gungsuh" w:cs="Gungsuh" w:eastAsia="Gungsuh" w:hAnsi="Gungsuh"/>
          <w:rtl w:val="0"/>
        </w:rPr>
        <w:t xml:space="preserve">Parts I through III show three observable patterns in this corpus. As reported in Part II, an exploratory Kruskal-Wallis test reached p ≈ .033; the chi-square on zero-hedge rates was p = .079, so the labels below are exploratory descriptions of what was observed here, not stable discipline-level characteristics. Generalization beyond this corpus is not warranted. The patterns are read through Salager-Meyer’s (1994) claim-responsibility framework and Hyland’s (2005) stance model.</w:t>
      </w:r>
    </w:p>
    <w:p w:rsidR="00000000" w:rsidDel="00000000" w:rsidP="00000000" w:rsidRDefault="00000000" w:rsidRPr="00000000" w14:paraId="00000161">
      <w:pPr>
        <w:spacing w:before="0" w:after="0" w:line="480" w:lineRule="auto"/>
        <w:ind w:firstLine="720"/>
        <w:jc w:val="both"/>
        <w:rPr/>
      </w:pPr>
      <w:r>
        <w:rPr>
          <w:rtl w:val="0"/>
        </w:rPr>
        <w:t xml:space="preserve">Agriculture: An observed pattern suggestive of cautious implication, though outlier-dependent. As noted in Part II, the Agriculture–Biology density contrast is sensitive to Acs2 and is better treated as marginal than as a stable ranking. Within that caveat, the near balance of modal verbs and lexical hedges in this subset, and the clustering of tokens such as potential and suggests in conclusion sentences, point to hedging of practical implications rather than of measured results. That reading fits Salager-Meyer’s (1994) distributed claim responsibility: the finding is stated with certainty; the application is softened. It may also reflect the practical orientation of agricultural research in this corpus.</w:t>
      </w:r>
    </w:p>
    <w:p w:rsidR="00000000" w:rsidDel="00000000" w:rsidP="00000000" w:rsidRDefault="00000000" w:rsidRPr="00000000" w14:paraId="00000162">
      <w:pPr>
        <w:spacing w:before="0" w:after="0" w:line="480" w:lineRule="auto"/>
        <w:ind w:firstLine="720"/>
        <w:jc w:val="both"/>
        <w:rPr/>
      </w:pPr>
      <w:r>
        <w:rPr>
          <w:rFonts w:ascii="Georgia" w:cs="Georgia" w:eastAsia="Georgia" w:hAnsi="Georgia"/>
          <w:b w:val="0"/>
          <w:bCs w:val="0"/>
          <w:i w:val="0"/>
          <w:iCs w:val="0"/>
          <w:sz w:val="22"/>
          <w:szCs w:val="22"/>
          <w:rtl w:val="0"/>
        </w:rPr>
        <w:t xml:space="preserve">Biology: A pattern suggestive of lexical caution with topic-naming. Biology’s density sits close to Agriculture’s overall rate (Part II), but its hedges are predominantly lexical, with potential often appearing in aim statements as topic-naming rather than as a hedge on a claim (see also the false-positive discussion in Part II). When potential is retained as a hedge, it usually softens an implication. The profile is less about sparse reporting than about a narrow set of lexical forms doing most of the work.</w:t>
      </w:r>
      <w:r>
        <w:rPr>
          <w:rtl w:val="0"/>
        </w:rPr>
      </w:r>
    </w:p>
    <w:p w:rsidR="00000000" w:rsidDel="00000000" w:rsidP="00000000" w:rsidRDefault="00000000" w:rsidRPr="00000000" w14:paraId="00000163">
      <w:pPr>
        <w:spacing w:before="0" w:after="0" w:line="480" w:lineRule="auto"/>
        <w:ind w:firstLine="720"/>
        <w:jc w:val="both"/>
        <w:rPr/>
      </w:pPr>
      <w:r>
        <w:rPr>
          <w:rFonts w:ascii="Georgia" w:cs="Georgia" w:eastAsia="Georgia" w:hAnsi="Georgia"/>
          <w:b w:val="0"/>
          <w:bCs w:val="0"/>
          <w:i w:val="0"/>
          <w:iCs w:val="0"/>
          <w:sz w:val="22"/>
          <w:szCs w:val="22"/>
          <w:rtl w:val="0"/>
        </w:rPr>
        <w:t xml:space="preserve">Veterinary Medicine: A pattern suggestive of assertive reporting. Part II already shows VM’s low density and high zero-hedge share. In this subset, factive verbs (showed, revealed, demonstrated, confirmed) often carry results without qualification. Several abstracts report diagnostic or presence/absence outcomes, where a binary finding can reasonably be stated as fact. The same categorical tone often extends to implications. The contrast with Agriculture and Biology is the clearest disciplinary difference in the corpus, though whether it reflects field norms, adviser expectations, or outcome type remains open.</w:t>
      </w:r>
      <w:r>
        <w:rPr>
          <w:rtl w:val="0"/>
        </w:rPr>
      </w:r>
    </w:p>
    <w:p w:rsidR="00000000" w:rsidDel="00000000" w:rsidP="00000000" w:rsidRDefault="00000000" w:rsidRPr="00000000" w14:paraId="00000164">
      <w:pPr>
        <w:spacing w:before="0" w:after="0" w:line="480" w:lineRule="auto"/>
        <w:ind w:firstLine="720"/>
        <w:jc w:val="both"/>
        <w:rPr/>
      </w:pPr>
      <w:r>
        <w:rPr>
          <w:rFonts w:ascii="Georgia" w:cs="Georgia" w:eastAsia="Georgia" w:hAnsi="Georgia"/>
          <w:b w:val="0"/>
          <w:bCs w:val="0"/>
          <w:i w:val="0"/>
          <w:iCs w:val="0"/>
          <w:sz w:val="22"/>
          <w:szCs w:val="22"/>
          <w:rtl w:val="0"/>
        </w:rPr>
        <w:t xml:space="preserve">Across the three disciplines, Veterinary Medicine’s sparse, assertive profile is the most robust contrast in this corpus. The Agriculture–Biology difference is marginal and partly outlier-driven. Whether these patterns reflect internalized field norms or local supervisory practice cannot be settled from the texts alone.</w:t>
      </w:r>
      <w:r>
        <w:rPr>
          <w:rtl w:val="0"/>
        </w:rPr>
      </w:r>
    </w:p>
    <w:p w:rsidR="00000000" w:rsidDel="00000000" w:rsidP="00000000" w:rsidRDefault="00000000" w:rsidRPr="00000000" w14:paraId="00000165">
      <w:pPr>
        <w:spacing w:before="0" w:after="0" w:line="480" w:lineRule="auto"/>
        <w:ind w:firstLine="720"/>
        <w:jc w:val="both"/>
        <w:rPr/>
      </w:pPr>
      <w:r>
        <w:rPr>
          <w:rFonts w:ascii="Georgia" w:cs="Georgia" w:eastAsia="Georgia" w:hAnsi="Georgia"/>
          <w:b w:val="0"/>
          <w:bCs w:val="0"/>
          <w:i w:val="0"/>
          <w:iCs w:val="0"/>
          <w:sz w:val="22"/>
          <w:szCs w:val="22"/>
          <w:rtl w:val="0"/>
        </w:rPr>
        <w:t xml:space="preserve">As noted in Part III, 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tl w:val="0"/>
        </w:rPr>
      </w:r>
    </w:p>
    <w:p w:rsidR="00000000" w:rsidDel="00000000" w:rsidP="00000000" w:rsidRDefault="00000000" w:rsidRPr="00000000" w14:paraId="00000166">
      <w:pPr>
        <w:spacing w:before="0" w:after="0" w:line="480" w:lineRule="auto"/>
        <w:ind w:firstLine="720"/>
        <w:jc w:val="both"/>
        <w:rPr/>
      </w:pPr>
      <w:r>
        <w:rPr>
          <w:rFonts w:ascii="Georgia" w:cs="Georgia" w:eastAsia="Georgia" w:hAnsi="Georgia"/>
          <w:b w:val="0"/>
          <w:bCs w:val="0"/>
          <w:i w:val="0"/>
          <w:iCs w:val="0"/>
          <w:sz w:val="22"/>
          <w:szCs w:val="22"/>
          <w:rtl w:val="0"/>
        </w:rPr>
        <w:t xml:space="preserve">However, the study cannot determine whether these disciplinary patterns reflect genuine epistemic norms internalized by developing researchers or simply the conventions enforced by faculty advisers during thesis supervision. As noted in the scope and limitations, undergraduate theses are heavily supervised, and observed patterns reflect departmental standards as much as individual writer choices. The findings are descriptive of the textual artifacts produced at PSAU, not of the cognitive processes of individual writers.</w:t>
      </w:r>
      <w:r>
        <w:rPr>
          <w:rtl w:val="0"/>
        </w:rPr>
      </w:r>
    </w:p>
    <w:p w:rsidR="00000000" w:rsidDel="00000000" w:rsidP="00000000" w:rsidRDefault="00000000" w:rsidRPr="00000000" w14:paraId="00000167">
      <w:pPr>
        <w:spacing w:before="0" w:after="0" w:line="480" w:lineRule="auto"/>
        <w:ind w:firstLine="720"/>
        <w:jc w:val="both"/>
        <w:rPr/>
      </w:pPr>
      <w:r>
        <w:rPr>
          <w:rtl w:val="0"/>
        </w:rPr>
        <w:t xml:space="preserve">Three observations support a descriptive label of pro forma hedging, not a confirmed construct: (1) potential accounts for a large share of lexical hedges and recurs in near-identical frames (Part I); (2) all retained hedges serve a single function (Part III); (3) 25 of 60 abstracts contain no hedges at all (Part II). These tokens are counted as hedges by form, position, and Working Test. “Pro forma” describes how they behave in the corpus (formulaic frames, single function, limited commitment calibration), not a claim that they fail the Working Test or should be excluded from density. When hedging appears, it often looks like a learned lexical shell rather than calibrated stance. The label aligns with Demir’s (2018) account of L2 underuse and Petchkij’s (2019) observation that instruction can raise frequency without fully expanding functional range. It remains a hypothesis for replication with inter-rater coding and expert-abstract comparison.</w:t>
      </w:r>
    </w:p>
    <w:p w:rsidR="00000000" w:rsidDel="00000000" w:rsidP="00000000" w:rsidRDefault="00000000" w:rsidRPr="00000000" w14:paraId="0000016E">
      <w:pPr>
        <w:keepLines w:val="1"/>
        <w:pageBreakBefore w:val="1"/>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Lexical hedges outnumber modal verbs in this corpus, largely because of formulaic potential. Density is highest in Agriculture and Biology (near-tied), then Veterinary Medicine, with 25 of 60 abstracts (41.7%) containing no coded hedges. Every retained hedge was coded as Epistemic Caution.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ungsuh" w:cs="Gungsuh" w:eastAsia="Gungsuh" w:hAnsi="Gungsuh"/>
          <w:b w:val="0"/>
          <w:bCs w:val="0"/>
          <w:i w:val="0"/>
          <w:iCs w:val="0"/>
          <w:sz w:val="22"/>
          <w:szCs w:val="22"/>
          <w:rtl w:val="0"/>
        </w:rPr>
        <w:t xml:space="preserve">Disciplinary differentiation is present but uneven. Veterinary Medicine’s sparse, assertive profile is the clearest contrast. Agriculture’s edge over Biology is modest and outlier-sensitive. The patterns are consistent with field-specific epistemic demands (Salager-Meyer, 1994) among developing writers, but statistical evidence is exploratory (Kruskal-Wallis p ≈ .033) and the sample is small. The study provides a local baseline, not a general law.</w:t>
      </w:r>
      <w:r>
        <w:rPr>
          <w:rtl w:val="0"/>
        </w:rPr>
      </w:r>
    </w:p>
    <w:p w:rsidR="00000000" w:rsidDel="00000000" w:rsidP="00000000" w:rsidRDefault="00000000" w:rsidRPr="00000000" w14:paraId="00000178">
      <w:pPr>
        <w:keepNext w:val="1"/>
        <w:keepLines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 xml:space="preserve">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Instruction should also distinguish topic-naming potential in aim statements from epistemic potential in conclusions, without treating hedging as a quota to fill.</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whether the disciplinary patterns observed in this study persist across multiple institutions and </w:t>
      </w:r>
      <w:r>
        <w:rPr>
          <w:rtl w:val="0"/>
        </w:rPr>
        <w:t xml:space="preserve">groups</w:t>
      </w:r>
      <w:r>
        <w:rPr>
          <w:rFonts w:ascii="Georgia" w:cs="Georgia" w:eastAsia="Georgia" w:hAnsi="Georgia"/>
          <w:b w:val="0"/>
          <w:bCs w:val="0"/>
          <w:i w:val="0"/>
          <w:iCs w:val="0"/>
          <w:sz w:val="22"/>
          <w:szCs w:val="22"/>
          <w:rtl w:val="0"/>
        </w:rPr>
        <w:t xml:space="preserve">. A multi-institutional comparison involving other Philippine state universities would help determine whether the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If VM advisers explicitly discourage hedging in abstracts, this would support the binary-outcome interpretation. If VM advisers do not address hedging at all, this would support the awareness-deficit interpretation.</w:t>
      </w:r>
      <w:r>
        <w:rPr>
          <w:rtl w:val="0"/>
        </w:rPr>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could examine assertive reporting forms alongside hedges, with a comparison group that includes both zero-hedge and hedged abstracts, to test whether those forms cluster with the absence of hedges or appear across the board.</w:t>
      </w:r>
      <w:r>
        <w:rPr>
          <w:rtl w:val="0"/>
        </w:rPr>
      </w:r>
    </w:p>
    <w:p w:rsidR="00000000" w:rsidDel="00000000" w:rsidP="00000000" w:rsidRDefault="00000000" w:rsidRPr="00000000" w14:paraId="00000182">
      <w:pPr>
        <w:keepLines w:val="1"/>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left"/>
        <w:rPr/>
      </w:pPr>
      <w:r>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w:t>
      </w:r>
      <w:r>
        <w:rPr>
          <w:rFonts w:ascii="Georgia" w:cs="Georgia" w:eastAsia="Georgia" w:hAnsi="Georgia"/>
          <w:b w:val="0"/>
          <w:bCs w:val="0"/>
          <w:i w:val="1"/>
          <w:iCs w:val="1"/>
          <w:sz w:val="22"/>
          <w:szCs w:val="22"/>
          <w:rtl w:val="0"/>
        </w:rPr>
        <w:t xml:space="preserve">Procedia – Social and Behavioral Sciences, 136</w:t>
      </w:r>
      <w:r>
        <w:rPr>
          <w:rFonts w:ascii="Georgia" w:cs="Georgia" w:eastAsia="Georgia" w:hAnsi="Georgia"/>
          <w:b w:val="0"/>
          <w:bCs w:val="0"/>
          <w:i w:val="0"/>
          <w:iCs w:val="0"/>
          <w:sz w:val="22"/>
          <w:szCs w:val="22"/>
          <w:rtl w:val="0"/>
        </w:rPr>
        <w:t xml:space="preserve">, 70–74. https://doi.org/10.1016/j.sbspro.2014.05.290</w:t>
      </w:r>
      <w:r>
        <w:rPr>
          <w:rtl w:val="0"/>
        </w:rPr>
      </w:r>
    </w:p>
    <w:p w:rsidR="00000000" w:rsidDel="00000000" w:rsidP="00000000" w:rsidRDefault="00000000" w:rsidRPr="00000000" w14:paraId="00000187">
      <w:pPr>
        <w:spacing w:before="0" w:after="0" w:line="480" w:lineRule="auto"/>
        <w:ind w:left="720" w:hanging="720"/>
        <w:jc w:val="left"/>
        <w:rPr/>
      </w:pPr>
      <w:r>
        <w:rPr>
          <w:rFonts w:ascii="Georgia" w:cs="Georgia" w:eastAsia="Georgia" w:hAnsi="Georgia"/>
          <w:b w:val="0"/>
          <w:bCs w:val="0"/>
          <w:i w:val="0"/>
          <w:iCs w:val="0"/>
          <w:sz w:val="22"/>
          <w:szCs w:val="22"/>
          <w:rtl w:val="0"/>
        </w:rPr>
        <w:t xml:space="preserve">Biber, D., Conrad, S., &amp; Reppen, R. (1998). </w:t>
      </w:r>
      <w:r>
        <w:rPr>
          <w:rFonts w:ascii="Georgia" w:cs="Georgia" w:eastAsia="Georgia" w:hAnsi="Georgia"/>
          <w:b w:val="0"/>
          <w:bCs w:val="0"/>
          <w:i w:val="1"/>
          <w:iCs w:val="1"/>
          <w:sz w:val="22"/>
          <w:szCs w:val="22"/>
          <w:rtl w:val="0"/>
        </w:rPr>
        <w:t xml:space="preserve">Corpus linguistics: Investigating language structure and use</w:t>
      </w:r>
      <w:r>
        <w:rPr>
          <w:rFonts w:ascii="Georgia" w:cs="Georgia" w:eastAsia="Georgia" w:hAnsi="Georgia"/>
          <w:b w:val="0"/>
          <w:bCs w:val="0"/>
          <w:i w:val="0"/>
          <w:iCs w:val="0"/>
          <w:sz w:val="22"/>
          <w:szCs w:val="22"/>
          <w:rtl w:val="0"/>
        </w:rPr>
        <w:t xml:space="preserve">. Cambridge University Press.</w:t>
      </w:r>
      <w:r>
        <w:rPr>
          <w:rtl w:val="0"/>
        </w:rPr>
      </w:r>
    </w:p>
    <w:p w:rsidR="00000000" w:rsidDel="00000000" w:rsidP="00000000" w:rsidRDefault="00000000" w:rsidRPr="00000000" w14:paraId="00000188">
      <w:pPr>
        <w:spacing w:before="0" w:after="0" w:line="480" w:lineRule="auto"/>
        <w:ind w:left="720" w:hanging="720"/>
        <w:jc w:val="left"/>
        <w:rPr/>
      </w:pPr>
      <w:r>
        <w:rPr>
          <w:rFonts w:ascii="Georgia" w:cs="Georgia" w:eastAsia="Georgia" w:hAnsi="Georgia"/>
          <w:b w:val="0"/>
          <w:bCs w:val="0"/>
          <w:i w:val="0"/>
          <w:iCs w:val="0"/>
          <w:sz w:val="22"/>
          <w:szCs w:val="22"/>
          <w:rtl w:val="0"/>
        </w:rPr>
        <w:t xml:space="preserve">Demir, C. (2018). Hedging and academic writing: An analysis of lexical hedges. </w:t>
      </w:r>
      <w:r>
        <w:rPr>
          <w:rFonts w:ascii="Georgia" w:cs="Georgia" w:eastAsia="Georgia" w:hAnsi="Georgia"/>
          <w:b w:val="0"/>
          <w:bCs w:val="0"/>
          <w:i w:val="1"/>
          <w:iCs w:val="1"/>
          <w:sz w:val="22"/>
          <w:szCs w:val="22"/>
          <w:rtl w:val="0"/>
        </w:rPr>
        <w:t xml:space="preserve">Journal of Language and Linguistic Studies, 14</w:t>
      </w:r>
      <w:r>
        <w:rPr>
          <w:rFonts w:ascii="Georgia" w:cs="Georgia" w:eastAsia="Georgia" w:hAnsi="Georgia"/>
          <w:b w:val="0"/>
          <w:bCs w:val="0"/>
          <w:i w:val="0"/>
          <w:iCs w:val="0"/>
          <w:sz w:val="22"/>
          <w:szCs w:val="22"/>
          <w:rtl w:val="0"/>
        </w:rPr>
        <w:t xml:space="preserve">(4), 74–92. https://files.eric.ed.gov/fulltext/EJ1201945.pdf</w:t>
      </w:r>
      <w:r>
        <w:rPr>
          <w:rtl w:val="0"/>
        </w:rPr>
      </w:r>
    </w:p>
    <w:p w:rsidR="00000000" w:rsidDel="00000000" w:rsidP="00000000" w:rsidRDefault="00000000" w:rsidRPr="00000000" w14:paraId="00000189">
      <w:pPr>
        <w:spacing w:before="0" w:after="0" w:line="480" w:lineRule="auto"/>
        <w:ind w:left="720" w:hanging="720"/>
        <w:jc w:val="left"/>
        <w:rPr/>
      </w:pPr>
      <w:r>
        <w:rPr>
          <w:rFonts w:ascii="Georgia" w:cs="Georgia" w:eastAsia="Georgia" w:hAnsi="Georgia"/>
          <w:b w:val="0"/>
          <w:bCs w:val="0"/>
          <w:i w:val="0"/>
          <w:iCs w:val="0"/>
          <w:sz w:val="22"/>
          <w:szCs w:val="22"/>
          <w:rtl w:val="0"/>
        </w:rPr>
        <w:t xml:space="preserve">Escalona, S. L. (2025). Hedges and boosters in college essays: A study of linguistic modulation in student writing. </w:t>
      </w:r>
      <w:r>
        <w:rPr>
          <w:rFonts w:ascii="Georgia" w:cs="Georgia" w:eastAsia="Georgia" w:hAnsi="Georgia"/>
          <w:b w:val="0"/>
          <w:bCs w:val="0"/>
          <w:i w:val="1"/>
          <w:iCs w:val="1"/>
          <w:sz w:val="22"/>
          <w:szCs w:val="22"/>
          <w:rtl w:val="0"/>
        </w:rPr>
        <w:t xml:space="preserve">International Journal of English Literature and Social Sciences, 10</w:t>
      </w:r>
      <w:r>
        <w:rPr>
          <w:rFonts w:ascii="Georgia" w:cs="Georgia" w:eastAsia="Georgia" w:hAnsi="Georgia"/>
          <w:b w:val="0"/>
          <w:bCs w:val="0"/>
          <w:i w:val="0"/>
          <w:iCs w:val="0"/>
          <w:sz w:val="22"/>
          <w:szCs w:val="22"/>
          <w:rtl w:val="0"/>
        </w:rPr>
        <w:t xml:space="preserve">(1), 7–17. https://doi.org/10.22161/ijels.101.2</w:t>
      </w:r>
      <w:r>
        <w:rPr>
          <w:rtl w:val="0"/>
        </w:rPr>
      </w:r>
    </w:p>
    <w:p w:rsidR="00000000" w:rsidDel="00000000" w:rsidP="00000000" w:rsidRDefault="00000000" w:rsidRPr="00000000" w14:paraId="0000018A">
      <w:pPr>
        <w:spacing w:before="0" w:after="0" w:line="480" w:lineRule="auto"/>
        <w:ind w:left="720" w:hanging="720"/>
        <w:jc w:val="left"/>
        <w:rPr/>
      </w:pPr>
      <w:r>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Pr>
          <w:rFonts w:ascii="Georgia" w:cs="Georgia" w:eastAsia="Georgia" w:hAnsi="Georgia"/>
          <w:b w:val="0"/>
          <w:bCs w:val="0"/>
          <w:i w:val="1"/>
          <w:iCs w:val="1"/>
          <w:sz w:val="22"/>
          <w:szCs w:val="22"/>
          <w:rtl w:val="0"/>
        </w:rPr>
        <w:t xml:space="preserve">Medical Journal of the Islamic Republic of Iran, 39</w:t>
      </w:r>
      <w:r>
        <w:rPr>
          <w:rFonts w:ascii="Georgia" w:cs="Georgia" w:eastAsia="Georgia" w:hAnsi="Georgia"/>
          <w:b w:val="0"/>
          <w:bCs w:val="0"/>
          <w:i w:val="0"/>
          <w:iCs w:val="0"/>
          <w:sz w:val="22"/>
          <w:szCs w:val="22"/>
          <w:rtl w:val="0"/>
        </w:rPr>
        <w:t xml:space="preserve">, 125. https://pmc.ncbi.nlm.nih.gov/articles/PMC12584097/</w:t>
      </w:r>
      <w:r>
        <w:rPr>
          <w:rtl w:val="0"/>
        </w:rPr>
      </w:r>
    </w:p>
    <w:p w:rsidR="00000000" w:rsidDel="00000000" w:rsidP="00000000" w:rsidRDefault="00000000" w:rsidRPr="00000000" w14:paraId="0000018B">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(1998). </w:t>
      </w:r>
      <w:r>
        <w:rPr>
          <w:rFonts w:ascii="Georgia" w:cs="Georgia" w:eastAsia="Georgia" w:hAnsi="Georgia"/>
          <w:b w:val="0"/>
          <w:bCs w:val="0"/>
          <w:i w:val="1"/>
          <w:iCs w:val="1"/>
          <w:sz w:val="22"/>
          <w:szCs w:val="22"/>
          <w:rtl w:val="0"/>
        </w:rPr>
        <w:t xml:space="preserve">Hedging in scientific research articles</w:t>
      </w:r>
      <w:r>
        <w:rPr>
          <w:rFonts w:ascii="Georgia" w:cs="Georgia" w:eastAsia="Georgia" w:hAnsi="Georgia"/>
          <w:b w:val="0"/>
          <w:bCs w:val="0"/>
          <w:i w:val="0"/>
          <w:iCs w:val="0"/>
          <w:sz w:val="22"/>
          <w:szCs w:val="22"/>
          <w:rtl w:val="0"/>
        </w:rPr>
        <w:t xml:space="preserve">. John Benjamins Publishing.</w:t>
      </w:r>
      <w:r>
        <w:rPr>
          <w:rtl w:val="0"/>
        </w:rPr>
      </w:r>
    </w:p>
    <w:p w:rsidR="00000000" w:rsidDel="00000000" w:rsidP="00000000" w:rsidRDefault="00000000" w:rsidRPr="00000000" w14:paraId="0000018C">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(2005). Stance and engagement: A model of interaction in academic discourse. </w:t>
      </w:r>
      <w:r>
        <w:rPr>
          <w:rFonts w:ascii="Georgia" w:cs="Georgia" w:eastAsia="Georgia" w:hAnsi="Georgia"/>
          <w:b w:val="0"/>
          <w:bCs w:val="0"/>
          <w:i w:val="1"/>
          <w:iCs w:val="1"/>
          <w:sz w:val="22"/>
          <w:szCs w:val="22"/>
          <w:rtl w:val="0"/>
        </w:rPr>
        <w:t xml:space="preserve">Discourse Studies, 7</w:t>
      </w:r>
      <w:r>
        <w:rPr>
          <w:rFonts w:ascii="Georgia" w:cs="Georgia" w:eastAsia="Georgia" w:hAnsi="Georgia"/>
          <w:b w:val="0"/>
          <w:bCs w:val="0"/>
          <w:i w:val="0"/>
          <w:iCs w:val="0"/>
          <w:sz w:val="22"/>
          <w:szCs w:val="22"/>
          <w:rtl w:val="0"/>
        </w:rPr>
        <w:t xml:space="preserve">(2), 173–192. https://doi.org/10.1177/1461445605050365</w:t>
      </w:r>
      <w:r>
        <w:rPr>
          <w:rtl w:val="0"/>
        </w:rPr>
      </w:r>
    </w:p>
    <w:p w:rsidR="00000000" w:rsidDel="00000000" w:rsidP="00000000" w:rsidRDefault="00000000" w:rsidRPr="00000000" w14:paraId="0000018D">
      <w:pPr>
        <w:spacing w:before="0" w:after="0" w:line="480" w:lineRule="auto"/>
        <w:ind w:left="720" w:hanging="720"/>
        <w:jc w:val="left"/>
        <w:rPr/>
      </w:pPr>
      <w:r>
        <w:rPr>
          <w:rFonts w:ascii="Georgia" w:cs="Georgia" w:eastAsia="Georgia" w:hAnsi="Georgia"/>
          <w:b w:val="0"/>
          <w:bCs w:val="0"/>
          <w:i w:val="0"/>
          <w:iCs w:val="0"/>
          <w:sz w:val="22"/>
          <w:szCs w:val="22"/>
          <w:rtl w:val="0"/>
        </w:rPr>
        <w:t xml:space="preserve">Hyland, K., &amp; Milton, J. (1997). Qualification and certainty in L1 and L2 students’ writing. </w:t>
      </w:r>
      <w:r>
        <w:rPr>
          <w:rFonts w:ascii="Georgia" w:cs="Georgia" w:eastAsia="Georgia" w:hAnsi="Georgia"/>
          <w:b w:val="0"/>
          <w:bCs w:val="0"/>
          <w:i w:val="1"/>
          <w:iCs w:val="1"/>
          <w:sz w:val="22"/>
          <w:szCs w:val="22"/>
          <w:rtl w:val="0"/>
        </w:rPr>
        <w:t xml:space="preserve">Journal of Second Language Writing, 6</w:t>
      </w:r>
      <w:r>
        <w:rPr>
          <w:rFonts w:ascii="Georgia" w:cs="Georgia" w:eastAsia="Georgia" w:hAnsi="Georgia"/>
          <w:b w:val="0"/>
          <w:bCs w:val="0"/>
          <w:i w:val="0"/>
          <w:iCs w:val="0"/>
          <w:sz w:val="22"/>
          <w:szCs w:val="22"/>
          <w:rtl w:val="0"/>
        </w:rPr>
        <w:t xml:space="preserve">(2), 183–205. https://doi.org/10.1016/S1060-3743(97)90033-3</w:t>
      </w:r>
      <w:r>
        <w:rPr>
          <w:rtl w:val="0"/>
        </w:rPr>
      </w:r>
    </w:p>
    <w:p w:rsidR="00000000" w:rsidDel="00000000" w:rsidP="00000000" w:rsidRDefault="00000000" w:rsidRPr="00000000" w14:paraId="0000018E">
      <w:pPr>
        <w:spacing w:before="0" w:after="0" w:line="480" w:lineRule="auto"/>
        <w:ind w:left="720" w:hanging="720"/>
        <w:jc w:val="left"/>
        <w:rPr/>
      </w:pPr>
      <w:r>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w:t>
      </w:r>
      <w:r>
        <w:rPr>
          <w:rFonts w:ascii="Georgia" w:cs="Georgia" w:eastAsia="Georgia" w:hAnsi="Georgia"/>
          <w:b w:val="0"/>
          <w:bCs w:val="0"/>
          <w:i w:val="1"/>
          <w:iCs w:val="1"/>
          <w:sz w:val="22"/>
          <w:szCs w:val="22"/>
          <w:rtl w:val="0"/>
        </w:rPr>
        <w:t xml:space="preserve">Linguistics and Literature Studies, 12</w:t>
      </w:r>
      <w:r>
        <w:rPr>
          <w:rFonts w:ascii="Georgia" w:cs="Georgia" w:eastAsia="Georgia" w:hAnsi="Georgia"/>
          <w:b w:val="0"/>
          <w:bCs w:val="0"/>
          <w:i w:val="0"/>
          <w:iCs w:val="0"/>
          <w:sz w:val="22"/>
          <w:szCs w:val="22"/>
          <w:rtl w:val="0"/>
        </w:rPr>
        <w:t xml:space="preserve">(3), 19–28. https://doi.org/10.13189/lls.2024.120301</w:t>
      </w:r>
      <w:r>
        <w:rPr>
          <w:rtl w:val="0"/>
        </w:rPr>
      </w:r>
    </w:p>
    <w:p w:rsidR="00000000" w:rsidDel="00000000" w:rsidP="00000000" w:rsidRDefault="00000000" w:rsidRPr="00000000" w14:paraId="0000018F">
      <w:pPr>
        <w:spacing w:before="0" w:after="0" w:line="480" w:lineRule="auto"/>
        <w:ind w:left="720" w:hanging="720"/>
        <w:jc w:val="left"/>
        <w:rPr/>
      </w:pPr>
      <w:r>
        <w:rPr>
          <w:rFonts w:ascii="Georgia" w:cs="Georgia" w:eastAsia="Georgia" w:hAnsi="Georgia"/>
          <w:b w:val="0"/>
          <w:bCs w:val="0"/>
          <w:i w:val="0"/>
          <w:iCs w:val="0"/>
          <w:sz w:val="22"/>
          <w:szCs w:val="22"/>
          <w:rtl w:val="0"/>
        </w:rPr>
        <w:t xml:space="preserve">Khunasathitchai, K., Sittironnarit, S., Sinturat, T., &amp; Kumdee, S. (2025). Move analysis and hedge use in the research paper abstracts of Thai EFL English-majored undergraduates. </w:t>
      </w:r>
      <w:r>
        <w:rPr>
          <w:rFonts w:ascii="Georgia" w:cs="Georgia" w:eastAsia="Georgia" w:hAnsi="Georgia"/>
          <w:b w:val="0"/>
          <w:bCs w:val="0"/>
          <w:i w:val="1"/>
          <w:iCs w:val="1"/>
          <w:sz w:val="22"/>
          <w:szCs w:val="22"/>
          <w:rtl w:val="0"/>
        </w:rPr>
        <w:t>rEFLections, 32(2), 951–973.</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90">
      <w:pPr>
        <w:spacing w:before="0" w:after="0" w:line="480" w:lineRule="auto"/>
        <w:ind w:left="720" w:hanging="720"/>
        <w:jc w:val="left"/>
        <w:rPr/>
      </w:pPr>
      <w:r>
        <w:rPr>
          <w:rFonts w:ascii="Georgia" w:cs="Georgia" w:eastAsia="Georgia" w:hAnsi="Georgia"/>
          <w:b w:val="0"/>
          <w:bCs w:val="0"/>
          <w:i w:val="0"/>
          <w:iCs w:val="0"/>
          <w:sz w:val="22"/>
          <w:szCs w:val="22"/>
          <w:rtl w:val="0"/>
        </w:rPr>
        <w:t>https://doi.org/10.61508/refl.v32i2.282512</w:t>
      </w:r>
      <w:r>
        <w:rPr>
          <w:rtl w:val="0"/>
        </w:rPr>
      </w:r>
    </w:p>
    <w:p w:rsidR="00000000" w:rsidDel="00000000" w:rsidP="00000000" w:rsidRDefault="00000000" w:rsidRPr="00000000" w14:paraId="00000192">
      <w:pPr>
        <w:spacing w:before="0" w:after="0" w:line="480" w:lineRule="auto"/>
        <w:ind w:left="720" w:hanging="720"/>
        <w:jc w:val="left"/>
        <w:rPr/>
      </w:pPr>
      <w:r>
        <w:rPr>
          <w:rFonts w:ascii="Georgia" w:cs="Georgia" w:eastAsia="Georgia" w:hAnsi="Georgia"/>
          <w:b w:val="0"/>
          <w:bCs w:val="0"/>
          <w:i w:val="0"/>
          <w:iCs w:val="0"/>
          <w:sz w:val="22"/>
          <w:szCs w:val="22"/>
          <w:rtl w:val="0"/>
        </w:rPr>
        <w:t xml:space="preserve">Landis, J. R., &amp; Koch, G. G. (1977). The measurement of observer agreement for categorical data. Biometrics, 33(1), 159–174. https://doi.org/10.2307/2529310</w:t>
      </w:r>
      <w:r>
        <w:rPr>
          <w:rtl w:val="0"/>
        </w:rPr>
      </w:r>
    </w:p>
    <w:p>
      <w:pPr>
        <w:spacing w:before="0" w:after="0" w:line="480" w:lineRule="auto"/>
        <w:ind w:left="720" w:hanging="720"/>
        <w:jc w:val="left"/>
        <w:rPr/>
      </w:pPr>
      <w:r>
        <w:rPr>
          <w:rFonts w:ascii="Georgia" w:cs="Georgia" w:eastAsia="Georgia" w:hAnsi="Georgia"/>
          <w:b w:val="0"/>
          <w:bCs w:val="0"/>
          <w:i w:val="0"/>
          <w:iCs w:val="0"/>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https://doi.org/10.47772/IJRISS.2025.91100485</w:t>
      </w:r>
    </w:p>
    <w:p w:rsidR="00000000" w:rsidDel="00000000" w:rsidP="00000000" w:rsidRDefault="00000000" w:rsidRPr="00000000" w14:paraId="00000193">
      <w:pPr>
        <w:spacing w:before="0" w:after="0" w:line="480" w:lineRule="auto"/>
        <w:ind w:left="720" w:hanging="720"/>
        <w:jc w:val="left"/>
        <w:rPr/>
      </w:pPr>
      <w:r>
        <w:rPr>
          <w:rFonts w:ascii="Georgia" w:cs="Georgia" w:eastAsia="Georgia" w:hAnsi="Georgia"/>
          <w:b w:val="0"/>
          <w:bCs w:val="0"/>
          <w:i w:val="0"/>
          <w:iCs w:val="0"/>
          <w:sz w:val="22"/>
          <w:szCs w:val="22"/>
          <w:rtl w:val="0"/>
        </w:rPr>
        <w:t xml:space="preserve">Mohammed, S. J. (2011). </w:t>
      </w:r>
      <w:r>
        <w:rPr>
          <w:rFonts w:ascii="Georgia" w:cs="Georgia" w:eastAsia="Georgia" w:hAnsi="Georgia"/>
          <w:b w:val="0"/>
          <w:bCs w:val="0"/>
          <w:i w:val="1"/>
          <w:iCs w:val="1"/>
          <w:sz w:val="22"/>
          <w:szCs w:val="22"/>
          <w:rtl w:val="0"/>
        </w:rPr>
        <w:t xml:space="preserve">Lexical hedges: A study of cultural and disciplinary variation in academic research articles</w:t>
      </w:r>
      <w:r>
        <w:rPr>
          <w:rFonts w:ascii="Georgia" w:cs="Georgia" w:eastAsia="Georgia" w:hAnsi="Georgia"/>
          <w:b w:val="0"/>
          <w:bCs w:val="0"/>
          <w:i w:val="0"/>
          <w:iCs w:val="0"/>
          <w:sz w:val="22"/>
          <w:szCs w:val="22"/>
          <w:rtl w:val="0"/>
        </w:rPr>
        <w:t xml:space="preserve"> [Master’s thesis, Universiti Teknologi MARA]. CORE. https://core.ac.uk/download/78277430.pdf</w:t>
      </w:r>
      <w:r>
        <w:rPr>
          <w:rtl w:val="0"/>
        </w:rPr>
      </w:r>
    </w:p>
    <w:p w:rsidR="00000000" w:rsidDel="00000000" w:rsidP="00000000" w:rsidRDefault="00000000" w:rsidRPr="00000000" w14:paraId="00000194">
      <w:pPr>
        <w:spacing w:before="0" w:after="0" w:line="480" w:lineRule="auto"/>
        <w:ind w:left="720" w:hanging="720"/>
        <w:jc w:val="left"/>
        <w:rPr/>
      </w:pPr>
      <w:r>
        <w:rPr>
          <w:rFonts w:ascii="Georgia" w:cs="Georgia" w:eastAsia="Georgia" w:hAnsi="Georgia"/>
          <w:b w:val="0"/>
          <w:bCs w:val="0"/>
          <w:i w:val="0"/>
          <w:iCs w:val="0"/>
          <w:sz w:val="22"/>
          <w:szCs w:val="22"/>
          <w:rtl w:val="0"/>
        </w:rPr>
        <w:t xml:space="preserve">Ningrum, S., Puspita, H., &amp; Mulyadi, A. I. (2024). Hedges and boosters in academic writing of ASEAN EFL learners. </w:t>
      </w:r>
      <w:r>
        <w:rPr>
          <w:rFonts w:ascii="Georgia" w:cs="Georgia" w:eastAsia="Georgia" w:hAnsi="Georgia"/>
          <w:b w:val="0"/>
          <w:bCs w:val="0"/>
          <w:i w:val="1"/>
          <w:iCs w:val="1"/>
          <w:sz w:val="22"/>
          <w:szCs w:val="22"/>
          <w:rtl w:val="0"/>
        </w:rPr>
        <w:t xml:space="preserve">Journal of English Education and Teaching, 8</w:t>
      </w:r>
      <w:r>
        <w:rPr>
          <w:rFonts w:ascii="Georgia" w:cs="Georgia" w:eastAsia="Georgia" w:hAnsi="Georgia"/>
          <w:b w:val="0"/>
          <w:bCs w:val="0"/>
          <w:i w:val="0"/>
          <w:iCs w:val="0"/>
          <w:sz w:val="22"/>
          <w:szCs w:val="22"/>
          <w:rtl w:val="0"/>
        </w:rPr>
        <w:t xml:space="preserve">(1), 202–218. https://doi.org/10.33369/jeet.8.1.202-218</w:t>
      </w:r>
      <w:r>
        <w:rPr>
          <w:rtl w:val="0"/>
        </w:rPr>
      </w:r>
    </w:p>
    <w:p w:rsidR="00000000" w:rsidDel="00000000" w:rsidP="00000000" w:rsidRDefault="00000000" w:rsidRPr="00000000" w14:paraId="00000195">
      <w:pPr>
        <w:spacing w:before="0" w:after="0" w:line="480" w:lineRule="auto"/>
        <w:ind w:left="720" w:hanging="720"/>
        <w:jc w:val="left"/>
        <w:rPr/>
      </w:pPr>
      <w:r>
        <w:rPr>
          <w:rFonts w:ascii="Georgia" w:cs="Georgia" w:eastAsia="Georgia" w:hAnsi="Georgia"/>
          <w:b w:val="0"/>
          <w:bCs w:val="0"/>
          <w:i w:val="0"/>
          <w:iCs w:val="0"/>
          <w:sz w:val="22"/>
          <w:szCs w:val="22"/>
          <w:rtl w:val="0"/>
        </w:rPr>
        <w:t xml:space="preserve">Petchkij, W. (2019). Explicit teaching of hedges: Bringing hedging in academic writing into the Thai EFL classroom. </w:t>
      </w:r>
      <w:r>
        <w:rPr>
          <w:rFonts w:ascii="Georgia" w:cs="Georgia" w:eastAsia="Georgia" w:hAnsi="Georgia"/>
          <w:b w:val="0"/>
          <w:bCs w:val="0"/>
          <w:i w:val="1"/>
          <w:iCs w:val="1"/>
          <w:sz w:val="22"/>
          <w:szCs w:val="22"/>
          <w:rtl w:val="0"/>
        </w:rPr>
        <w:t xml:space="preserve">Electronic Journal of Foreign Language Teaching, 16(1), 95–113. https://e-flt.nus.edu.sg/wp-content/uploads/2020/09/petchkij.pdf</w:t>
      </w:r>
      <w:r>
        <w:rPr>
          <w:rtl w:val="0"/>
        </w:rPr>
      </w:r>
    </w:p>
    <w:p w:rsidR="00000000" w:rsidDel="00000000" w:rsidP="00000000" w:rsidRDefault="00000000" w:rsidRPr="00000000" w14:paraId="00000196">
      <w:pPr>
        <w:spacing w:before="0" w:after="0" w:line="480" w:lineRule="auto"/>
        <w:ind w:left="720" w:hanging="720"/>
        <w:jc w:val="left"/>
        <w:rPr/>
      </w:pPr>
      <w:r>
        <w:rPr>
          <w:rFonts w:ascii="Georgia" w:cs="Georgia" w:eastAsia="Georgia" w:hAnsi="Georgia"/>
          <w:b w:val="0"/>
          <w:bCs w:val="0"/>
          <w:i w:val="0"/>
          <w:iCs w:val="0"/>
          <w:sz w:val="22"/>
          <w:szCs w:val="22"/>
          <w:rtl w:val="0"/>
        </w:rPr>
        <w:t xml:space="preserve">Salager-Meyer, F. (1994). Hedges and textual communicative function in medical English written discourse. </w:t>
      </w:r>
      <w:r>
        <w:rPr>
          <w:rFonts w:ascii="Georgia" w:cs="Georgia" w:eastAsia="Georgia" w:hAnsi="Georgia"/>
          <w:b w:val="0"/>
          <w:bCs w:val="0"/>
          <w:i w:val="1"/>
          <w:iCs w:val="1"/>
          <w:sz w:val="22"/>
          <w:szCs w:val="22"/>
          <w:rtl w:val="0"/>
        </w:rPr>
        <w:t xml:space="preserve">English for Specific Purposes, 13</w:t>
      </w:r>
      <w:r>
        <w:rPr>
          <w:rFonts w:ascii="Georgia" w:cs="Georgia" w:eastAsia="Georgia" w:hAnsi="Georgia"/>
          <w:b w:val="0"/>
          <w:bCs w:val="0"/>
          <w:i w:val="0"/>
          <w:iCs w:val="0"/>
          <w:sz w:val="22"/>
          <w:szCs w:val="22"/>
          <w:rtl w:val="0"/>
        </w:rPr>
        <w:t xml:space="preserve">(2), 149–170. https://doi.org/10.1016/0889-4906(94)90013-2</w:t>
      </w:r>
      <w:r>
        <w:rPr>
          <w:rtl w:val="0"/>
        </w:rPr>
      </w:r>
    </w:p>
    <w:p w:rsidR="00000000" w:rsidDel="00000000" w:rsidP="00000000" w:rsidRDefault="00000000" w:rsidRPr="00000000" w14:paraId="00000197">
      <w:pPr>
        <w:spacing w:before="0" w:after="0" w:line="480" w:lineRule="auto"/>
        <w:ind w:left="720" w:hanging="720"/>
        <w:jc w:val="left"/>
        <w:rPr/>
      </w:pPr>
      <w:r>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w:t>
      </w:r>
      <w:r>
        <w:rPr>
          <w:rFonts w:ascii="Georgia" w:cs="Georgia" w:eastAsia="Georgia" w:hAnsi="Georgia"/>
          <w:b w:val="0"/>
          <w:bCs w:val="0"/>
          <w:i w:val="1"/>
          <w:iCs w:val="1"/>
          <w:sz w:val="22"/>
          <w:szCs w:val="22"/>
          <w:rtl w:val="0"/>
        </w:rPr>
        <w:t xml:space="preserve">ETERNAL (English Teaching Journal), 16</w:t>
      </w:r>
      <w:r>
        <w:rPr>
          <w:rFonts w:ascii="Georgia" w:cs="Georgia" w:eastAsia="Georgia" w:hAnsi="Georgia"/>
          <w:b w:val="0"/>
          <w:bCs w:val="0"/>
          <w:i w:val="0"/>
          <w:iCs w:val="0"/>
          <w:sz w:val="22"/>
          <w:szCs w:val="22"/>
          <w:rtl w:val="0"/>
        </w:rPr>
        <w:t xml:space="preserve">(1), 37–52. https://journal2.upgris.ac.id/index.php/eternal/article/view/1059</w:t>
      </w:r>
      <w:r>
        <w:rPr>
          <w:rtl w:val="0"/>
        </w:rPr>
      </w:r>
    </w:p>
    <w:p w:rsidR="00000000" w:rsidDel="00000000" w:rsidP="00000000" w:rsidRDefault="00000000" w:rsidRPr="00000000" w14:paraId="00000198">
      <w:pPr>
        <w:spacing w:before="0" w:after="0" w:line="480" w:lineRule="auto"/>
        <w:ind w:left="720" w:hanging="720"/>
        <w:jc w:val="left"/>
        <w:rPr/>
      </w:pPr>
      <w:r>
        <w:rPr>
          <w:rFonts w:ascii="Georgia" w:cs="Georgia" w:eastAsia="Georgia" w:hAnsi="Georgia"/>
          <w:b w:val="0"/>
          <w:bCs w:val="0"/>
          <w:i w:val="0"/>
          <w:iCs w:val="0"/>
          <w:sz w:val="22"/>
          <w:szCs w:val="22"/>
          <w:rtl w:val="0"/>
        </w:rPr>
        <w:t xml:space="preserve">Villanueva, V. S. (2014). Hedging devices in Philippine newspaper editorials. </w:t>
      </w:r>
      <w:r>
        <w:rPr>
          <w:rFonts w:ascii="Georgia" w:cs="Georgia" w:eastAsia="Georgia" w:hAnsi="Georgia"/>
          <w:b w:val="0"/>
          <w:bCs w:val="0"/>
          <w:i w:val="1"/>
          <w:iCs w:val="1"/>
          <w:sz w:val="22"/>
          <w:szCs w:val="22"/>
          <w:rtl w:val="0"/>
        </w:rPr>
        <w:t xml:space="preserve">Asian Journal of English Language Studies, 2</w:t>
      </w:r>
      <w:r>
        <w:rPr>
          <w:rFonts w:ascii="Georgia" w:cs="Georgia" w:eastAsia="Georgia" w:hAnsi="Georgia"/>
          <w:b w:val="0"/>
          <w:bCs w:val="0"/>
          <w:i w:val="0"/>
          <w:iCs w:val="0"/>
          <w:sz w:val="22"/>
          <w:szCs w:val="22"/>
          <w:rtl w:val="0"/>
        </w:rPr>
        <w:t xml:space="preserve">, 103–117. https://doi.org/10.59960/2.a5</w:t>
      </w:r>
      <w:r>
        <w:rPr>
          <w:rtl w:val="0"/>
        </w:rPr>
      </w:r>
    </w:p>
    <w:p w:rsidR="00000000" w:rsidDel="00000000" w:rsidP="00000000" w:rsidRDefault="00000000" w:rsidRPr="00000000" w14:paraId="00000199">
      <w:pPr>
        <w:spacing w:before="0" w:after="0" w:line="480" w:lineRule="auto"/>
        <w:ind w:left="720" w:hanging="720"/>
        <w:jc w:val="left"/>
        <w:rPr/>
        <w:sectPr>
          <w:headerReference r:id="rId15" w:type="default"/>
          <w:headerReference r:id="rId16"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Wang, X. (2022). </w:t>
      </w:r>
      <w:r>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Pr>
          <w:rFonts w:ascii="Georgia" w:cs="Georgia" w:eastAsia="Georgia" w:hAnsi="Georgia"/>
          <w:b w:val="0"/>
          <w:bCs w:val="0"/>
          <w:i w:val="0"/>
          <w:iCs w:val="0"/>
          <w:sz w:val="22"/>
          <w:szCs w:val="22"/>
          <w:rtl w:val="0"/>
        </w:rPr>
        <w:t xml:space="preserve"> [Preprint]. OSF Preprints. https://osf.io/preprints/edarxiv/5xj27</w:t>
      </w:r>
      <w:r>
        <w:rPr>
          <w:rtl w:val="0"/>
        </w:rPr>
      </w:r>
    </w:p>
    <w:p w:rsidR="00000000" w:rsidDel="00000000" w:rsidP="00000000" w:rsidRDefault="00000000" w:rsidRPr="00000000" w14:paraId="0000019B">
      <w:pPr>
        <w:keepLines w:val="1"/>
        <w:pageBreakBefore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keepLines w:val="1"/>
        <w:spacing w:before="240" w:after="0" w:line="480" w:lineRule="auto"/>
        <w:jc w:val="left"/>
        <w:rPr/>
      </w:pPr>
      <w:r>
        <w:rPr>
          <w:rFonts w:ascii="Georgia" w:cs="Georgia" w:eastAsia="Georgia" w:hAnsi="Georgia"/>
          <w:b w:val="1"/>
          <w:bCs w:val="1"/>
          <w:sz w:val="24"/>
          <w:szCs w:val="24"/>
          <w:rtl w:val="0"/>
        </w:rPr>
        <w:t xml:space="preserve">APPENDIX A: HEDGING CODEBOOK</w:t>
      </w:r>
      <w:r>
        <w:rPr>
          <w:rtl w:val="0"/>
        </w:rPr>
      </w:r>
    </w:p>
    <w:p w:rsidR="00000000" w:rsidDel="00000000" w:rsidP="00000000" w:rsidRDefault="00000000" w:rsidRPr="00000000" w14:paraId="000001A0">
      <w:pPr>
        <w:spacing w:before="0" w:after="0" w:line="480" w:lineRule="auto"/>
        <w:jc w:val="both"/>
        <w:rPr/>
      </w:pPr>
      <w:r>
        <w:rPr/>
        <w:t xml:space="preserve">This appendix is the full coding protocol used for the study. It opens with a one-page quick-reference, then a one-page legend and coding-sheet section, then the operational layers, decision rules, false-positive categories, and recording conventions.</w:t>
      </w:r>
    </w:p>
    <w:p w:rsidR="00000000" w:rsidDel="00000000" w:rsidP="00000000" w:rsidRDefault="00000000" w:rsidRPr="00000000" w14:paraId="000001A2">
      <w:pPr>
        <w:keepNext w:val="1"/>
        <w:spacing w:before="120" w:after="120" w:line="240" w:lineRule="auto"/>
        <w:ind w:firstLine="720"/>
        <w:jc w:val="left"/>
        <w:rPr/>
      </w:pPr>
      <w:r>
        <w:rPr>
          <w:rFonts w:ascii="Georgia" w:cs="Georgia" w:eastAsia="Georgia" w:hAnsi="Georgia"/>
          <w:b w:val="1"/>
          <w:bCs w:val="1"/>
          <w:sz w:val="24"/>
          <w:szCs w:val="24"/>
          <w:rtl w:val="0"/>
        </w:rPr>
        <w:t xml:space="preserve">QUICK-REFERENCE</w:t>
      </w:r>
      <w:r>
        <w:rPr>
          <w:rtl w:val="0"/>
        </w:rPr>
      </w:r>
    </w:p>
    <w:p w:rsidR="00000000" w:rsidDel="00000000" w:rsidP="00000000" w:rsidRDefault="00000000" w:rsidRPr="00000000" w14:paraId="000001A3">
      <w:pPr>
        <w:spacing w:before="0" w:after="0" w:line="240"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rPr>
      </w:r>
    </w:p>
    <w:p w:rsidR="00000000" w:rsidDel="00000000" w:rsidP="00000000" w:rsidRDefault="00000000" w:rsidRPr="00000000" w14:paraId="000001A4">
      <w:pPr>
        <w:keepNext w:val="1"/>
        <w:spacing w:before="120" w:after="0" w:line="240" w:lineRule="auto"/>
        <w:jc w:val="left"/>
        <w:rPr/>
      </w:pPr>
      <w:r>
        <w:rPr>
          <w:rFonts w:ascii="Georgia" w:cs="Georgia" w:eastAsia="Georgia" w:hAnsi="Georgia"/>
          <w:b w:val="1"/>
          <w:bCs w:val="1"/>
          <w:sz w:val="24"/>
          <w:szCs w:val="24"/>
          <w:rtl w:val="0"/>
        </w:rPr>
        <w:t xml:space="preserve">Hedge types</w:t>
      </w:r>
      <w:r>
        <w:rPr>
          <w:rtl w:val="0"/>
        </w:rPr>
      </w:r>
    </w:p>
    <w:p w:rsidR="00000000" w:rsidDel="00000000" w:rsidP="00000000" w:rsidRDefault="00000000" w:rsidRPr="00000000" w14:paraId="000001A5">
      <w:pPr>
        <w:spacing w:before="0" w:after="0" w:line="240"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rPr>
      </w:r>
    </w:p>
    <w:p w:rsidR="00000000" w:rsidDel="00000000" w:rsidP="00000000" w:rsidRDefault="00000000" w:rsidRPr="00000000" w14:paraId="000001A6">
      <w:pPr>
        <w:spacing w:before="0" w:after="0" w:line="240"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certainty of a claim and pass the Working Test.</w:t>
      </w:r>
      <w:r>
        <w:rPr>
          <w:rtl w:val="0"/>
        </w:rPr>
      </w:r>
    </w:p>
    <w:p w:rsidR="00000000" w:rsidDel="00000000" w:rsidP="00000000" w:rsidRDefault="00000000" w:rsidRPr="00000000" w14:paraId="000001A7">
      <w:pPr>
        <w:spacing w:before="0" w:after="0" w:line="240"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rPr>
      </w:r>
    </w:p>
    <w:p w:rsidR="00000000" w:rsidDel="00000000" w:rsidP="00000000" w:rsidRDefault="00000000" w:rsidRPr="00000000" w14:paraId="000001A8">
      <w:pPr>
        <w:spacing w:before="0" w:after="0" w:line="240"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rPr>
      </w:r>
    </w:p>
    <w:p w:rsidR="00000000" w:rsidDel="00000000" w:rsidP="00000000" w:rsidRDefault="00000000" w:rsidRPr="00000000" w14:paraId="000001A9">
      <w:pPr>
        <w:keepNext w:val="1"/>
        <w:spacing w:before="120" w:after="0" w:line="240" w:lineRule="auto"/>
        <w:ind w:firstLine="720"/>
        <w:jc w:val="left"/>
        <w:rPr/>
      </w:pPr>
      <w:r>
        <w:rPr>
          <w:rFonts w:ascii="Georgia" w:cs="Georgia" w:eastAsia="Georgia" w:hAnsi="Georgia"/>
          <w:b w:val="1"/>
          <w:bCs w:val="1"/>
          <w:sz w:val="24"/>
          <w:szCs w:val="24"/>
          <w:rtl w:val="0"/>
        </w:rPr>
        <w:t xml:space="preserve">Hedge functions</w:t>
      </w:r>
      <w:r>
        <w:rPr>
          <w:rtl w:val="0"/>
        </w:rPr>
      </w:r>
    </w:p>
    <w:p w:rsidR="00000000" w:rsidDel="00000000" w:rsidP="00000000" w:rsidRDefault="00000000" w:rsidRPr="00000000" w14:paraId="000001AA">
      <w:pPr>
        <w:spacing w:before="0" w:after="0" w:line="240"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rPr>
      </w:r>
    </w:p>
    <w:p w:rsidR="00000000" w:rsidDel="00000000" w:rsidP="00000000" w:rsidRDefault="00000000" w:rsidRPr="00000000" w14:paraId="000001AB">
      <w:pPr>
        <w:spacing w:before="0" w:after="0" w:line="240"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rPr>
      </w:r>
    </w:p>
    <w:p w:rsidR="00000000" w:rsidDel="00000000" w:rsidP="00000000" w:rsidRDefault="00000000" w:rsidRPr="00000000" w14:paraId="000001AC">
      <w:pPr>
        <w:spacing w:before="0" w:after="0" w:line="240"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rPr>
      </w:r>
    </w:p>
    <w:p w:rsidR="00000000" w:rsidDel="00000000" w:rsidP="00000000" w:rsidRDefault="00000000" w:rsidRPr="00000000" w14:paraId="000001AD">
      <w:pPr>
        <w:keepNext w:val="1"/>
        <w:spacing w:before="120" w:after="0" w:line="240" w:lineRule="auto"/>
        <w:ind w:firstLine="720"/>
        <w:jc w:val="left"/>
        <w:rPr/>
      </w:pPr>
      <w:r>
        <w:rPr>
          <w:rFonts w:ascii="Georgia" w:cs="Georgia" w:eastAsia="Georgia" w:hAnsi="Georgia"/>
          <w:b w:val="1"/>
          <w:bCs w:val="1"/>
          <w:sz w:val="24"/>
          <w:szCs w:val="24"/>
          <w:rtl w:val="0"/>
        </w:rPr>
        <w:t xml:space="preserve">Core decision rules</w:t>
      </w:r>
      <w:r>
        <w:rPr>
          <w:rtl w:val="0"/>
        </w:rPr>
      </w:r>
    </w:p>
    <w:p w:rsidR="00000000" w:rsidDel="00000000" w:rsidP="00000000" w:rsidRDefault="00000000" w:rsidRPr="00000000" w14:paraId="000001AE">
      <w:pPr>
        <w:spacing w:before="0" w:after="0" w:line="240" w:lineRule="auto"/>
        <w:ind w:left="240" w:firstLine="720"/>
        <w:jc w:val="both"/>
        <w:rPr/>
      </w:pPr>
      <w:r>
        <w:rPr>
          <w:rFonts w:ascii="Georgia" w:cs="Cardo" w:eastAsia="Cardo" w:hAnsi="Georgia"/>
          <w:sz w:val="24"/>
          <w:szCs w:val="24"/>
          <w:rtl w:val="0"/>
          <w:i/>
          <w:iCs/>
        </w:rPr>
        <w:t xml:space="preserve">suggest / indicate → hedge when introducing a finding; not a hedge when introducing a recommendation.</w:t>
      </w:r>
      <w:r>
        <w:rPr>
          <w:rtl w:val="0"/>
          <w:rFonts w:ascii="Georgia" w:hAnsi="Georgia"/>
          <w:sz w:val="24"/>
          <w:szCs w:val="24"/>
          <w:i/>
          <w:iCs/>
        </w:rPr>
      </w:r>
    </w:p>
    <w:p w:rsidR="00000000" w:rsidDel="00000000" w:rsidP="00000000" w:rsidRDefault="00000000" w:rsidRPr="00000000" w14:paraId="000001AF">
      <w:pPr>
        <w:spacing w:before="0" w:after="0" w:line="240" w:lineRule="auto"/>
        <w:ind w:left="240" w:firstLine="720"/>
        <w:jc w:val="both"/>
        <w:rPr/>
      </w:pPr>
      <w:r>
        <w:rPr>
          <w:rFonts w:ascii="Georgia" w:cs="Cardo" w:eastAsia="Cardo" w:hAnsi="Georgia"/>
          <w:sz w:val="24"/>
          <w:szCs w:val="24"/>
          <w:rtl w:val="0"/>
          <w:i/>
          <w:iCs/>
        </w:rPr>
        <w:t xml:space="preserve">can / may → hedge when marking possibility; not a hedge when marking capability.</w:t>
      </w:r>
      <w:r>
        <w:rPr>
          <w:rtl w:val="0"/>
          <w:rFonts w:ascii="Georgia" w:hAnsi="Georgia"/>
          <w:sz w:val="24"/>
          <w:szCs w:val="24"/>
          <w:i/>
          <w:iCs/>
        </w:rPr>
      </w:r>
    </w:p>
    <w:p w:rsidR="00000000" w:rsidDel="00000000" w:rsidP="00000000" w:rsidRDefault="00000000" w:rsidRPr="00000000" w14:paraId="000001B0">
      <w:pPr>
        <w:spacing w:before="0" w:after="0" w:line="240" w:lineRule="auto"/>
        <w:ind w:left="240" w:firstLine="720"/>
        <w:jc w:val="both"/>
        <w:rPr/>
      </w:pPr>
      <w:r>
        <w:rPr>
          <w:rFonts w:ascii="Georgia" w:cs="Cardo" w:eastAsia="Cardo" w:hAnsi="Georgia"/>
          <w:sz w:val="24"/>
          <w:szCs w:val="24"/>
          <w:rtl w:val="0"/>
          <w:i/>
          <w:iCs/>
        </w:rPr>
        <w:t xml:space="preserve">generally / typically → hedge when limiting the scope of a claim; not a hedge when describing a procedural norm.</w:t>
      </w:r>
      <w:r>
        <w:rPr>
          <w:rtl w:val="0"/>
          <w:rFonts w:ascii="Georgia" w:hAnsi="Georgia"/>
          <w:sz w:val="24"/>
          <w:szCs w:val="24"/>
          <w:i/>
          <w:iCs/>
        </w:rPr>
      </w:r>
    </w:p>
    <w:p w:rsidR="00000000" w:rsidDel="00000000" w:rsidP="00000000" w:rsidRDefault="00000000" w:rsidRPr="00000000" w14:paraId="000001B1">
      <w:pPr>
        <w:spacing w:before="0" w:after="0" w:line="240" w:lineRule="auto"/>
        <w:ind w:left="240" w:firstLine="0"/>
        <w:jc w:val="both"/>
        <w:rPr/>
      </w:pPr>
      <w:r>
        <w:rPr>
          <w:rFonts w:ascii="Georgia" w:cs="Cardo" w:eastAsia="Cardo" w:hAnsi="Georgia"/>
          <w:sz w:val="24"/>
          <w:szCs w:val="24"/>
          <w:rtl w:val="0"/>
          <w:i/>
          <w:iCs/>
        </w:rPr>
        <w:t xml:space="preserve">appear / seem → hedge when expressing uncertainty about a result; not a hedge when pointing to location in a table or text.</w:t>
      </w:r>
      <w:r>
        <w:rPr>
          <w:rtl w:val="0"/>
          <w:rFonts w:ascii="Georgia" w:hAnsi="Georgia"/>
          <w:sz w:val="24"/>
          <w:szCs w:val="24"/>
          <w:i/>
          <w:iCs/>
        </w:rPr>
      </w:r>
    </w:p>
    <w:p w:rsidR="00000000" w:rsidDel="00000000" w:rsidP="00000000" w:rsidRDefault="00000000" w:rsidRPr="00000000" w14:paraId="000001B2">
      <w:pPr>
        <w:keepNext w:val="1"/>
        <w:spacing w:before="120" w:after="0" w:line="240" w:lineRule="auto"/>
        <w:ind w:firstLine="720"/>
        <w:jc w:val="left"/>
        <w:rPr/>
      </w:pPr>
      <w:r>
        <w:rPr>
          <w:rFonts w:ascii="Georgia" w:cs="Georgia" w:eastAsia="Georgia" w:hAnsi="Georgia"/>
          <w:b w:val="1"/>
          <w:bCs w:val="1"/>
          <w:sz w:val="24"/>
          <w:szCs w:val="24"/>
          <w:rtl w:val="0"/>
        </w:rPr>
        <w:t xml:space="preserve">Exclusion and Working Test</w:t>
      </w:r>
      <w:r>
        <w:rPr>
          <w:rtl w:val="0"/>
        </w:rPr>
      </w:r>
    </w:p>
    <w:p w:rsidR="00000000" w:rsidDel="00000000" w:rsidP="00000000" w:rsidRDefault="00000000" w:rsidRPr="00000000" w14:paraId="000001B3">
      <w:pPr>
        <w:spacing w:before="0" w:after="0" w:line="240" w:lineRule="auto"/>
        <w:jc w:val="both"/>
        <w:rPr/>
      </w:pPr>
      <w:r>
        <w:rPr>
          <w:rFonts w:ascii="Georgia" w:cs="Georgia" w:eastAsia="Georgia" w:hAnsi="Georgia"/>
          <w:b w:val="0"/>
          <w:bCs w:val="0"/>
          <w:sz w:val="22"/>
          <w:szCs w:val="22"/>
          <w:rtl w:val="0"/>
        </w:rPr>
        <w:t xml:space="preserve">Ability, future procedure, and necessity (must / should in procedural contexts) are never hedges. Working Test: if removing the device does not change how certain or tentative the claim is, it is not a hedge.</w:t>
      </w:r>
      <w:r>
        <w:rPr>
          <w:rtl w:val="0"/>
        </w:rPr>
      </w:r>
    </w:p>
    <w:p>
      <w:pPr/>
      <w:r>
        <w:br w:type="page"/>
      </w:r>
    </w:p>
    <w:p w:rsidR="00000000" w:rsidDel="00000000" w:rsidP="00000000" w:rsidRDefault="00000000" w:rsidRPr="00000000" w14:paraId="00000233">
      <w:pPr>
        <w:keepNext w:val="1"/>
        <w:spacing w:before="60" w:after="0" w:line="312"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35">
            <w:pPr>
              <w:spacing w:before="0" w:after="0" w:line="312"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312"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cantSplit w:val="1"/>
          <w:tblHeader w:val="0"/>
        </w:trPr>
        <w:tc>
          <w:tcPr/>
          <w:p w:rsidR="00000000" w:rsidDel="00000000" w:rsidP="00000000" w:rsidRDefault="00000000" w:rsidRPr="00000000" w14:paraId="00000237">
            <w:pPr>
              <w:spacing w:before="0" w:after="0" w:line="312"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312"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312"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312"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312"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312"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312"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cantSplit w:val="1"/>
          <w:tblHeader w:val="0"/>
        </w:trPr>
        <w:tc>
          <w:tcPr/>
          <w:p w:rsidR="00000000" w:rsidDel="00000000" w:rsidP="00000000" w:rsidRDefault="00000000" w:rsidRPr="00000000" w14:paraId="0000023E">
            <w:pPr>
              <w:spacing w:before="0" w:after="0" w:line="312" w:lineRule="auto"/>
              <w:jc w:val="both"/>
              <w:rPr/>
            </w:pPr>
            <w:r>
              <w:rPr>
                <w:rFonts w:ascii="Georgia" w:cs="Georgia" w:eastAsia="Georgia" w:hAnsi="Georgia"/>
                <w:b w:val="1"/>
                <w:bCs w:val="1"/>
                <w:i w:val="0"/>
                <w:iCs w:val="0"/>
                <w:color w:val="000000"/>
                <w:sz w:val="18"/>
                <w:szCs w:val="18"/>
                <w:rtl w:val="0"/>
              </w:rPr>
              <w:t xml:space="preserve">UNHEDGED SITES (Grey Highlight, Optional)</w:t>
            </w:r>
            <w:r>
              <w:rPr>
                <w:rtl w:val="0"/>
                <w:sz w:val="18"/>
                <w:szCs w:val="18"/>
                <w:rFonts w:ascii="Georgia" w:hAnsi="Georgia"/>
              </w:rPr>
            </w:r>
          </w:p>
          <w:p w:rsidR="00000000" w:rsidDel="00000000" w:rsidP="00000000" w:rsidRDefault="00000000" w:rsidRPr="00000000" w14:paraId="0000023F">
            <w:pPr>
              <w:spacing w:before="0" w:after="0" w:line="312" w:lineRule="auto"/>
              <w:jc w:val="both"/>
              <w:rPr/>
            </w:pPr>
            <w:r>
              <w:rPr>
                <w:rFonts w:ascii="Georgia" w:cs="Georgia" w:eastAsia="Georgia" w:hAnsi="Georgia"/>
                <w:sz w:val="18"/>
                <w:szCs w:val="18"/>
                <w:shd w:fill="bfbfbf" w:val="clear"/>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312"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312"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60" w:after="0" w:line="312"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312"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color w:val="000000"/>
        </w:rPr>
        <w:t xml:space="preserve"> that C. longa extracts are </w:t>
      </w:r>
      <w:r>
        <w:rPr>
          <w:highlight w:val="red"/>
          <w:color w:val="ffffff"/>
        </w:rPr>
        <w:t>potential</w:t>
      </w:r>
      <w:r>
        <w:rPr>
          <w:color w:val="000000"/>
        </w:rPr>
        <w:t xml:space="preserve"> </w:t>
      </w:r>
      <w:r>
        <w:rPr>
          <w:color w:val="ed7d31"/>
        </w:rPr>
        <w:t>(EC)</w:t>
      </w:r>
      <w:r>
        <w:rPr>
          <w:color w:val="000000"/>
        </w:rPr>
        <w:t xml:space="preserve"> alternative stains. PCR </w:t>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before="0" w:after="0" w:line="312" w:lineRule="auto"/>
        <w:ind w:firstLine="720"/>
        <w:jc w:val="both"/>
        <w:rPr/>
      </w:pPr>
      <w:r>
        <w:rPr>
          <w:i w:val="1"/>
          <w:iCs w:val="1"/>
          <w:color w:val="404040"/>
          <w:rtl w:val="0"/>
        </w:rPr>
        <w:t xml:space="preserve"/>
      </w:r>
      <w:r>
        <w:rPr>
          <w:rFonts w:ascii="Georgia" w:cs="Georgia" w:eastAsia="Georgia" w:hAnsi="Georgia"/>
          <w:b w:val="0"/>
          <w:bCs w:val="0"/>
          <w:i w:val="1"/>
          <w:iCs w:val="1"/>
          <w:color w:val="404040"/>
          <w:sz w:val="22"/>
          <w:szCs w:val="22"/>
          <w:rtl w:val="0"/>
        </w:rPr>
        <w:t xml:space="preserve"> Colored highlights mark type. Colored text marks function. Grey highlights mark an unhedged site. Here, “potential” is retained as a Lexical hedge because it appears in a results/conclusion sentence and qualifies the claim about the extracts.</w:t>
      </w:r>
      <w:r>
        <w:rPr>
          <w:rtl w:val="0"/>
        </w:rPr>
      </w:r>
    </w:p>
    <w:p w:rsidR="00000000" w:rsidDel="00000000" w:rsidP="00000000" w:rsidRDefault="00000000" w:rsidRPr="00000000" w14:paraId="00000247">
      <w:pPr>
        <w:keepNext w:val="1"/>
        <w:spacing w:before="120" w:after="0" w:line="312"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49">
            <w:pPr>
              <w:spacing w:before="0" w:after="0" w:line="312"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312"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312"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312"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312"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312"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312"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312"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51">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60" w:after="0" w:line="312"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0" w:line="312" w:lineRule="auto"/>
        <w:ind w:firstLine="720"/>
        <w:jc w:val="both"/>
        <w:rPr/>
      </w:pPr>
      <w:r>
        <w:rPr>
          <w:rFonts w:ascii="Georgia" w:cs="Georgia" w:eastAsia="Georgia" w:hAnsi="Georgia"/>
          <w:b w:val="0"/>
          <w:bCs w:val="0"/>
          <w:i w:val="1"/>
          <w:iCs w:val="1"/>
          <w:color w:val="000000"/>
          <w:sz w:val="22"/>
          <w:szCs w:val="22"/>
          <w:rtl w:val="0"/>
        </w:rPr>
        <w:t xml:space="preserve">Layer 3 data, tracked separately so it never inflates RQ2 counts.</w:t>
      </w:r>
      <w:r>
        <w:rPr>
          <w:rtl w:val="0"/>
        </w:rPr>
      </w:r>
    </w:p>
    <w:p w:rsidR="00000000" w:rsidDel="00000000" w:rsidP="00000000" w:rsidRDefault="00000000" w:rsidRPr="00000000" w14:paraId="0000025E">
      <w:pPr>
        <w:keepNext w:val="1"/>
        <w:keepLines w:val="1"/>
        <w:spacing w:before="120" w:after="0" w:line="312"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5F">
            <w:pPr>
              <w:spacing w:before="0" w:after="0" w:line="312"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312"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312"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312"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312"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312"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65">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60" w:after="0" w:line="312"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keepLines w:val="1"/>
        <w:spacing w:before="0" w:after="0" w:line="312"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6E">
            <w:pPr>
              <w:spacing w:before="0" w:after="0" w:line="312"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312"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312"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312"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312"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312"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val="1"/>
          <w:tblHeader w:val="0"/>
        </w:trPr>
        <w:tc>
          <w:tcPr/>
          <w:p w:rsidR="00000000" w:rsidDel="00000000" w:rsidP="00000000" w:rsidRDefault="00000000" w:rsidRPr="00000000" w14:paraId="00000274">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312"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pPr>
        <w:spacing w:line="312" w:lineRule="auto"/>
      </w:pPr>
      <w:r>
        <w:br w:type="page"/>
      </w:r>
    </w:p>
    <w:p w:rsidR="00000000" w:rsidDel="00000000" w:rsidP="00000000" w:rsidRDefault="00000000" w:rsidRPr="00000000" w14:paraId="000001B4">
      <w:pPr>
        <w:keepNext w:val="1"/>
        <w:pageBreakBefore w:val="1"/>
        <w:spacing w:before="720" w:after="120" w:line="36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firstLine="720"/>
        <w:jc w:val="both"/>
        <w:rPr/>
      </w:pPr>
      <w:r>
        <w:rPr>
          <w:rFonts w:ascii="Georgia" w:cs="Georgia" w:eastAsia="Georgia" w:hAnsi="Georgia"/>
          <w:b w:val="0"/>
          <w:bCs w:val="0"/>
          <w:sz w:val="22"/>
          <w:szCs w:val="22"/>
          <w:rtl w:val="0"/>
        </w:rPr>
        <w:t xml:space="preserve">This codebook turns Hyland’s (1998) framework into a practical coding scheme for the PSAU undergraduate thesis abstract corpus. </w:t>
      </w:r>
      <w:r>
        <w:rPr>
          <w:rtl w:val="0"/>
        </w:rPr>
      </w:r>
    </w:p>
    <w:p w:rsidR="00000000" w:rsidDel="00000000" w:rsidP="00000000" w:rsidRDefault="00000000" w:rsidRPr="00000000" w14:paraId="000001B8">
      <w:pPr>
        <w:keepNext w:val="1"/>
        <w:spacing w:before="120" w:after="0" w:line="360" w:lineRule="auto"/>
        <w:jc w:val="left"/>
        <w:rPr/>
      </w:pPr>
      <w:r>
        <w:rPr>
          <w:rFonts w:ascii="Georgia" w:cs="Georgia" w:eastAsia="Georgia" w:hAnsi="Georgia"/>
          <w:b w:val="1"/>
          <w:bCs w:val="1"/>
          <w:i w:val="0"/>
          <w:iCs w:val="0"/>
          <w:sz w:val="24"/>
          <w:szCs w:val="24"/>
          <w:rtl w:val="0"/>
        </w:rPr>
        <w:t xml:space="preserve">WORKING TEST</w:t>
      </w:r>
      <w:r>
        <w:rPr>
          <w:rtl w:val="0"/>
        </w:rPr>
      </w:r>
    </w:p>
    <w:p w:rsidR="00000000" w:rsidDel="00000000" w:rsidP="00000000" w:rsidRDefault="00000000" w:rsidRPr="00000000" w14:paraId="000001B9">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If removing a device does not change the epistemic weight of the claim (how certain or tentative it is), it is not a hedge. This includes phrases that only point to evidence for a claim already asserted elsewhere in the sentence (e.g., </w:t>
      </w:r>
      <w:r>
        <w:rPr>
          <w:rFonts w:ascii="Georgia" w:cs="Georgia" w:eastAsia="Georgia" w:hAnsi="Georgia"/>
          <w:b w:val="0"/>
          <w:bCs w:val="0"/>
          <w:i w:val="1"/>
          <w:iCs w:val="1"/>
          <w:color w:val="000000"/>
          <w:sz w:val="22"/>
          <w:szCs w:val="22"/>
          <w:rtl w:val="0"/>
        </w:rPr>
        <w:t xml:space="preserve">“as indicated by X”</w:t>
      </w:r>
      <w:r>
        <w:rPr>
          <w:rFonts w:ascii="Georgia" w:cs="Georgia" w:eastAsia="Georgia" w:hAnsi="Georgia"/>
          <w:b w:val="0"/>
          <w:bCs w:val="0"/>
          <w:i w:val="0"/>
          <w:iCs w:val="0"/>
          <w:color w:val="000000"/>
          <w:sz w:val="22"/>
          <w:szCs w:val="22"/>
          <w:rtl w:val="0"/>
        </w:rPr>
        <w:t xml:space="preserve">) rather than expressing uncertainty about the claim itself.</w:t>
      </w:r>
      <w:r>
        <w:rPr>
          <w:rtl w:val="0"/>
        </w:rPr>
      </w:r>
    </w:p>
    <w:p w:rsidR="00000000" w:rsidDel="00000000" w:rsidP="00000000" w:rsidRDefault="00000000" w:rsidRPr="00000000" w14:paraId="000001BA">
      <w:pPr>
        <w:spacing w:before="0" w:after="0" w:line="360" w:lineRule="auto"/>
        <w:ind w:firstLine="720"/>
        <w:jc w:val="both"/>
        <w:rPr/>
      </w:pPr>
      <w:r>
        <w:rPr>
          <w:rFonts w:ascii="Georgia" w:cs="Georgia" w:eastAsia="Georgia" w:hAnsi="Georgia"/>
          <w:b w:val="0"/>
          <w:bCs w:val="0"/>
          <w:i w:val="0"/>
          <w:iCs w:val="0"/>
          <w:sz w:val="22"/>
          <w:szCs w:val="22"/>
          <w:rtl w:val="0"/>
        </w:rPr>
        <w:t xml:space="preserve">Epistemic vs. deontic: epistemic language concerns how certain a claim is (what may or might be true). Deontic language concerns what should or needs to be done. Hedges are epistemic. Deontic language is never a hedge, whatever verb carries it. Example: “We suggest further research” is FP-Rec even though “suggest” is on the hedge list.</w:t>
      </w:r>
      <w:r>
        <w:rPr>
          <w:rtl w:val="0"/>
        </w:rPr>
      </w:r>
    </w:p>
    <w:p w:rsidR="00000000" w:rsidDel="00000000" w:rsidP="00000000" w:rsidRDefault="00000000" w:rsidRPr="00000000" w14:paraId="000001BB">
      <w:pPr>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Do not code a word as a hedge just because it appears in the hedge list. Evaluate its function in the sentence: </w:t>
      </w:r>
      <w:r>
        <w:rPr>
          <w:rFonts w:ascii="Georgia" w:cs="Georgia" w:eastAsia="Georgia" w:hAnsi="Georgia"/>
          <w:b w:val="0"/>
          <w:bCs w:val="0"/>
          <w:i w:val="1"/>
          <w:iCs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is a hedge only for possibility, not capability; </w:t>
      </w:r>
      <w:r>
        <w:rPr>
          <w:rFonts w:ascii="Georgia" w:cs="Georgia" w:eastAsia="Georgia" w:hAnsi="Georgia"/>
          <w:b w:val="0"/>
          <w:bCs w:val="0"/>
          <w:i w:val="1"/>
          <w:iCs w:val="1"/>
          <w:color w:val="000000"/>
          <w:sz w:val="22"/>
          <w:szCs w:val="22"/>
          <w:rtl w:val="0"/>
        </w:rPr>
        <w:t xml:space="preserve">“suggest”</w:t>
      </w:r>
      <w:r>
        <w:rPr>
          <w:rFonts w:ascii="Georgia" w:cs="Georgia" w:eastAsia="Georgia" w:hAnsi="Georgia"/>
          <w:b w:val="0"/>
          <w:bCs w:val="0"/>
          <w:i w:val="0"/>
          <w:iCs w:val="0"/>
          <w:color w:val="000000"/>
          <w:sz w:val="22"/>
          <w:szCs w:val="22"/>
          <w:rtl w:val="0"/>
        </w:rPr>
        <w:t xml:space="preserve"> is a hedge only for a finding, not a recommendation.</w:t>
      </w:r>
      <w:r>
        <w:rPr>
          <w:rtl w:val="0"/>
        </w:rPr>
      </w:r>
    </w:p>
    <w:p w:rsidR="00000000" w:rsidDel="00000000" w:rsidP="00000000" w:rsidRDefault="00000000" w:rsidRPr="00000000" w14:paraId="000001BC">
      <w:pPr>
        <w:spacing w:before="0" w:after="0" w:line="360" w:lineRule="auto"/>
        <w:ind w:firstLine="720"/>
        <w:jc w:val="both"/>
        <w:rPr/>
      </w:pPr>
      <w:r>
        <w:rPr>
          <w:rFonts w:ascii="Georgia" w:cs="Georgia" w:eastAsia="Georgia" w:hAnsi="Georgia"/>
          <w:b w:val="0"/>
          <w:bCs w:val="0"/>
          <w:i w:val="0"/>
          <w:iCs w:val="0"/>
          <w:sz w:val="22"/>
          <w:szCs w:val="22"/>
          <w:rtl w:val="0"/>
        </w:rPr>
        <w:t xml:space="preserve">Coding order: read the sentence in full, check Decision Rules, apply the Working Test if unresolved, and log any case that still can’t be resolved in Coder Notes rather than guessing.</w:t>
      </w:r>
      <w:r>
        <w:rPr>
          <w:rtl w:val="0"/>
        </w:rPr>
      </w:r>
    </w:p>
    <w:p w:rsidR="00000000" w:rsidDel="00000000" w:rsidP="00000000" w:rsidRDefault="00000000" w:rsidRPr="00000000" w14:paraId="000001BE">
      <w:pPr>
        <w:keepNext w:val="1"/>
        <w:spacing w:before="120" w:after="0" w:line="360" w:lineRule="auto"/>
        <w:jc w:val="left"/>
        <w:rPr/>
      </w:pPr>
      <w:r>
        <w:rPr>
          <w:rFonts w:ascii="Georgia" w:cs="Georgia" w:eastAsia="Georgia" w:hAnsi="Georgia"/>
          <w:b w:val="1"/>
          <w:bCs w:val="1"/>
          <w:i w:val="0"/>
          <w:iCs w:val="0"/>
          <w:sz w:val="24"/>
          <w:szCs w:val="24"/>
          <w:rtl w:val="0"/>
        </w:rPr>
        <w:t xml:space="preserve">LAYER 1: HEDGE TYPE (PRIMARY COLORS)</w:t>
      </w:r>
      <w:r>
        <w:rPr>
          <w:rtl w:val="0"/>
        </w:rPr>
      </w:r>
    </w:p>
    <w:p w:rsidR="00000000" w:rsidDel="00000000" w:rsidP="00000000" w:rsidRDefault="00000000" w:rsidRPr="00000000" w14:paraId="000001BF">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val="1"/>
          <w:tblHeader w:val="0"/>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val="1"/>
          <w:tblHeader w:val="0"/>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val="1"/>
          <w:tblHeader w:val="0"/>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240" w:after="0" w:line="480" w:lineRule="auto"/>
        <w:ind w:firstLine="720"/>
        <w:jc w:val="both"/>
        <w:rPr/>
      </w:pPr>
      <w:r>
        <w:rPr>
          <w:rFonts w:ascii="Georgia" w:cs="Georgia" w:eastAsia="Georgia" w:hAnsi="Georgia"/>
          <w:b w:val="0"/>
          <w:bCs w:val="0"/>
          <w:i w:val="1"/>
          <w:iCs w:val="1"/>
          <w:color w:val="000000"/>
          <w:sz w:val="22"/>
          <w:szCs w:val="22"/>
          <w:rtl w:val="0"/>
        </w:rPr>
        <w:t xml:space="preserve">Exclusions (capability, recommendation, procedural norm, location) are covered under </w:t>
      </w:r>
      <w:r>
        <w:rPr>
          <w:rFonts w:ascii="Georgia" w:cs="Georgia" w:eastAsia="Georgia" w:hAnsi="Georgia"/>
          <w:b w:val="1"/>
          <w:bCs w:val="1"/>
          <w:i w:val="1"/>
          <w:iCs w:val="1"/>
          <w:color w:val="000000"/>
          <w:sz w:val="22"/>
          <w:szCs w:val="22"/>
          <w:rtl w:val="0"/>
        </w:rPr>
        <w:t xml:space="preserve">Decision Rules</w:t>
      </w:r>
      <w:r>
        <w:rPr>
          <w:rFonts w:ascii="Georgia" w:cs="Georgia" w:eastAsia="Georgia" w:hAnsi="Georgia"/>
          <w:b w:val="0"/>
          <w:bCs w:val="0"/>
          <w:i w:val="1"/>
          <w:iCs w:val="1"/>
          <w:color w:val="000000"/>
          <w:sz w:val="22"/>
          <w:szCs w:val="22"/>
          <w:rtl w:val="0"/>
        </w:rPr>
        <w:t xml:space="preserve">.</w:t>
      </w:r>
      <w:r>
        <w:rPr>
          <w:rtl w:val="0"/>
        </w:rPr>
      </w:r>
    </w:p>
    <w:p w:rsidR="00000000" w:rsidDel="00000000" w:rsidP="00000000" w:rsidRDefault="00000000" w:rsidRPr="00000000" w14:paraId="000001D6">
      <w:pPr>
        <w:keepNext w:val="1"/>
        <w:spacing w:before="120" w:after="0" w:line="360" w:lineRule="auto"/>
        <w:ind w:firstLine="720"/>
        <w:jc w:val="both"/>
        <w:rPr/>
      </w:pPr>
      <w:r>
        <w:rPr>
          <w:rFonts w:ascii="Georgia" w:cs="Georgia" w:eastAsia="Georgia" w:hAnsi="Georgia"/>
          <w:i w:val="0"/>
          <w:iCs w:val="0"/>
          <w:sz w:val="22"/>
          <w:szCs w:val="22"/>
          <w:rtl w:val="0"/>
        </w:rPr>
        <w:t>Extensions: “imply/implies/implying” functions as suggest. “Can be concluded / derived / stated / attributed to / seen as” is an inferential hedge, distinct from capability “can” (see Decision Rules). “Potentially” is an adverbial hedge. “Potential” naming the research object itself (e.g., “assessed the potential of X”) is not markable, it names a topic rather than qualifying a claim. Rule for “potential + noun” constructions: structural position is primary. If the phrase sits in an aim, methods, or pure topic-naming frame (naming the research object, e.g., “assessed the potential of X”), treat as topic-naming (FP-Gen). If it sits in a results or conclusion sentence qualifying a finding-claim, treat as a Lexical hedge (EC). The Working Test is applied as a secondary check: when removing the token clearly changes commitment to a proposition (e.g., "presence of potential mycobacterial infections" → "presence of mycobacterial infections"), the token is coded Lexical EC even in an aim or rationale sentence. This differs from pure topic-naming aims such as “explores the potential antifungal properties” (VM5) or “their potential pharmaceutical applications” (B17), where removing the token leaves a research-object name rather than an asserted existence claim; those remain FP-Gen.</w:t>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Fonts w:ascii="Georgia" w:cs="Georgia" w:eastAsia="Georgia" w:hAnsi="Georgia"/>
          <w:i w:val="0"/>
          <w:iCs w:val="0"/>
          <w:color w:val="000000"/>
          <w:sz w:val="22"/>
          <w:szCs w:val="22"/>
          <w:rtl w:val="0"/>
        </w:rPr>
        <w:t xml:space="preserve"/>
      </w:r>
      <w:r>
        <w:rPr>
          <w:rFonts w:ascii="Georgia" w:cs="Georgia" w:eastAsia="Georgia" w:hAnsi="Georgia"/>
          <w:i w:val="1"/>
          <w:iCs w:val="1"/>
          <w:color w:val="000000"/>
          <w:sz w:val="22"/>
          <w:szCs w:val="22"/>
          <w:rtl w:val="0"/>
        </w:rPr>
        <w:t xml:space="preserve"/>
      </w:r>
      <w:r>
        <w:rPr>
          <w:rtl w:val="0"/>
        </w:rPr>
      </w:r>
    </w:p>
    <w:p w:rsidR="00000000" w:rsidDel="00000000" w:rsidP="00000000" w:rsidRDefault="00000000" w:rsidRPr="00000000" w14:paraId="000001D8">
      <w:pPr>
        <w:keepNext w:val="1"/>
        <w:keepLines w:val="1"/>
        <w:spacing w:before="120" w:after="0" w:line="360" w:lineRule="auto"/>
        <w:jc w:val="left"/>
        <w:rPr/>
      </w:pPr>
      <w:r>
        <w:rPr>
          <w:rFonts w:ascii="Georgia" w:cs="Georgia" w:eastAsia="Georgia" w:hAnsi="Georgia"/>
          <w:b w:val="1"/>
          <w:bCs w:val="1"/>
          <w:i w:val="0"/>
          <w:iCs w:val="0"/>
          <w:sz w:val="24"/>
          <w:szCs w:val="24"/>
          <w:rtl w:val="0"/>
        </w:rPr>
        <w:t xml:space="preserve">LAYER 2: 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val="1"/>
          <w:tblHeader w:val="0"/>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18"/>
                <w:szCs w:val="18"/>
                <w:rtl w:val="0"/>
              </w:rPr>
              <w:t xml:space="preserve">DO</w:t>
            </w:r>
            <w:r>
              <w:rPr>
                <w:rtl w:val="0"/>
                <w:sz w:val="18"/>
                <w:szCs w:val="18"/>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18"/>
                <w:szCs w:val="18"/>
                <w:rtl w:val="0"/>
              </w:rPr>
              <w:t xml:space="preserve">Discourse Organization</w:t>
            </w:r>
            <w:r>
              <w:rPr>
                <w:rtl w:val="0"/>
                <w:sz w:val="18"/>
                <w:szCs w:val="18"/>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18"/>
                <w:szCs w:val="18"/>
                <w:rtl w:val="0"/>
              </w:rPr>
              <w:t xml:space="preserve">Structures text or guides reader expectations.</w:t>
            </w:r>
            <w:r>
              <w:rPr>
                <w:rtl w:val="0"/>
                <w:sz w:val="18"/>
                <w:szCs w:val="18"/>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should be noted that</w:t>
            </w:r>
            <w:r>
              <w:rPr>
                <w:rFonts w:ascii="Georgia" w:cs="Georgia" w:eastAsia="Georgia" w:hAnsi="Georgia"/>
                <w:b w:val="0"/>
                <w:bCs w:val="0"/>
                <w:i w:val="0"/>
                <w:iCs w:val="0"/>
                <w:color w:val="000000"/>
                <w:sz w:val="18"/>
                <w:szCs w:val="18"/>
                <w:rtl w:val="0"/>
              </w:rPr>
              <w:t xml:space="preserve">. </w:t>
            </w: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bl>
    <w:p w:rsidR="00000000" w:rsidDel="00000000" w:rsidP="00000000" w:rsidRDefault="00000000" w:rsidRPr="00000000" w14:paraId="000001EA">
      <w:pPr>
        <w:keepNext w:val="1"/>
        <w:spacing w:before="240" w:after="0" w:line="48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val="1"/>
          <w:tblHeader w:val="0"/>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val="1"/>
          <w:tblHeader w:val="0"/>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val="1"/>
          <w:tblHeader w:val="0"/>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val="1"/>
          <w:tblHeader w:val="0"/>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val="1"/>
          <w:tblHeader w:val="0"/>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val="1"/>
          <w:tblHeader w:val="0"/>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val="1"/>
          <w:tblHeader w:val="0"/>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val="1"/>
          <w:tblHeader w:val="0"/>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240" w:after="0" w:line="48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keepLines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val="1"/>
          <w:tblHeader w:val="0"/>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val="1"/>
          <w:tblHeader w:val="0"/>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val="1"/>
          <w:tblHeader w:val="0"/>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val="1"/>
          <w:tblHeader w:val="0"/>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val="1"/>
          <w:tblHeader w:val="0"/>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240" w:after="0" w:line="480" w:lineRule="auto"/>
        <w:jc w:val="left"/>
        <w:rPr/>
      </w:pPr>
      <w:r>
        <w:rPr>
          <w:rFonts w:ascii="Georgia" w:cs="Georgia" w:eastAsia="Georgia" w:hAnsi="Georgia"/>
          <w:b w:val="1"/>
          <w:bCs w:val="1"/>
          <w:i w:val="0"/>
          <w:iCs w:val="0"/>
          <w:sz w:val="24"/>
          <w:szCs w:val="24"/>
          <w:rtl w:val="0"/>
        </w:rPr>
        <w:t xml:space="preserve">LAYER 3 (OPTIONAL): UNHEDGED ASSERTION SITES (NEUTRAL GREY)</w:t>
      </w:r>
      <w:r>
        <w:rPr>
          <w:rtl w:val="0"/>
        </w:rPr>
      </w:r>
    </w:p>
    <w:p w:rsidR="00000000" w:rsidDel="00000000" w:rsidP="00000000" w:rsidRDefault="00000000" w:rsidRPr="00000000" w14:paraId="00000221">
      <w:pPr>
        <w:keepNext w:val="1"/>
        <w:keepLines w:val="1"/>
        <w:spacing w:before="0" w:after="0" w:line="360" w:lineRule="auto"/>
        <w:ind w:firstLine="720"/>
        <w:jc w:val="both"/>
        <w:rPr/>
      </w:pPr>
      <w:r>
        <w:rPr>
          <w:rFonts w:ascii="Georgia" w:cs="Georgia" w:eastAsia="Georgia" w:hAnsi="Georgia"/>
          <w:b w:val="0"/>
          <w:bCs w:val="0"/>
          <w:i w:val="0"/>
          <w:iCs w:val="0"/>
          <w:color w:val="000000"/>
          <w:sz w:val="22"/>
          <w:szCs w:val="22"/>
          <w:rtl w:val="0"/>
        </w:rPr>
        <w:t xml:space="preserve">Marks claim-bearing clauses stated directly and confidently without a hedge. Reverse test: if a hedge could be inserted without changing the facts, the clause is markable. Procedural statements are never markable. Example: </w:t>
      </w:r>
      <w:r>
        <w:rPr>
          <w:rFonts w:ascii="Georgia" w:cs="Georgia" w:eastAsia="Georgia" w:hAnsi="Georgia"/>
          <w:b w:val="0"/>
          <w:bCs w:val="0"/>
          <w:i w:val="1"/>
          <w:iCs w:val="1"/>
          <w:color w:val="000000"/>
          <w:sz w:val="22"/>
          <w:szCs w:val="22"/>
          <w:rtl w:val="0"/>
        </w:rPr>
        <w:t xml:space="preserve">“Results showed X”</w:t>
      </w:r>
      <w:r>
        <w:rPr>
          <w:rFonts w:ascii="Georgia" w:cs="Georgia" w:eastAsia="Georgia" w:hAnsi="Georgia"/>
          <w:b w:val="0"/>
          <w:bCs w:val="0"/>
          <w:i w:val="0"/>
          <w:iCs w:val="0"/>
          <w:color w:val="000000"/>
          <w:sz w:val="22"/>
          <w:szCs w:val="22"/>
          <w:rtl w:val="0"/>
        </w:rPr>
        <w:t xml:space="preserve"> could take a hedge (</w:t>
      </w:r>
      <w:r>
        <w:rPr>
          <w:rFonts w:ascii="Georgia" w:cs="Georgia" w:eastAsia="Georgia" w:hAnsi="Georgia"/>
          <w:b w:val="0"/>
          <w:bCs w:val="0"/>
          <w:i w:val="1"/>
          <w:iCs w:val="1"/>
          <w:color w:val="000000"/>
          <w:sz w:val="22"/>
          <w:szCs w:val="22"/>
          <w:rtl w:val="0"/>
        </w:rPr>
        <w:t xml:space="preserve">“Results suggested X”</w:t>
      </w:r>
      <w:r>
        <w:rPr>
          <w:rFonts w:ascii="Georgia" w:cs="Georgia" w:eastAsia="Georgia" w:hAnsi="Georgia"/>
          <w:b w:val="0"/>
          <w:bCs w:val="0"/>
          <w:i w:val="0"/>
          <w:iCs w:val="0"/>
          <w:color w:val="000000"/>
          <w:sz w:val="22"/>
          <w:szCs w:val="22"/>
          <w:rtl w:val="0"/>
        </w:rPr>
        <w:t xml:space="preserve">) without changing the underlying finding, so it is markable.</w:t>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val="1"/>
          <w:tblHeader w:val="1"/>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18"/>
                <w:szCs w:val="18"/>
                <w:rtl w:val="0"/>
              </w:rPr>
              <w:t xml:space="preserve">Result Claim [R]</w:t>
            </w:r>
            <w:r>
              <w:rPr>
                <w:rtl w:val="0"/>
                <w:sz w:val="18"/>
                <w:szCs w:val="18"/>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18"/>
                <w:szCs w:val="18"/>
                <w:rtl w:val="0"/>
              </w:rPr>
              <w:t xml:space="preserve">A finding stated as settled fact.</w:t>
            </w:r>
            <w:r>
              <w:rPr>
                <w:rtl w:val="0"/>
                <w:sz w:val="18"/>
                <w:szCs w:val="18"/>
                <w:rFonts w:ascii="Georgia" w:hAnsi="Georgia"/>
              </w:rPr>
            </w:r>
          </w:p>
        </w:tc>
        <w:tc>
          <w:tcPr/>
          <w:p w:rsidR="00000000" w:rsidDel="00000000" w:rsidP="00000000" w:rsidRDefault="00000000" w:rsidRPr="00000000" w14:paraId="00000229">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000000"/>
                <w:sz w:val="18"/>
                <w:szCs w:val="18"/>
                <w:shd w:fill="bfbfbf" w:val="clear"/>
                <w:rtl w:val="0"/>
              </w:rPr>
              <w:t xml:space="preserve">Results showed</w:t>
            </w:r>
            <w:r>
              <w:rPr>
                <w:rFonts w:ascii="Georgia" w:cs="Georgia" w:eastAsia="Georgia" w:hAnsi="Georgia"/>
                <w:b w:val="0"/>
                <w:bCs w:val="0"/>
                <w:i w:val="0"/>
                <w:iCs w:val="0"/>
                <w:color w:val="000000"/>
                <w:sz w:val="18"/>
                <w:szCs w:val="18"/>
                <w:rtl w:val="0"/>
              </w:rPr>
              <w:t xml:space="preserve"> that all shrimp farms were free of the disease.”</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18"/>
                <w:szCs w:val="18"/>
                <w:rtl w:val="0"/>
              </w:rPr>
              <w:t xml:space="preserve">A broader inference beyond the data.</w:t>
            </w:r>
            <w:r>
              <w:rPr>
                <w:rtl w:val="0"/>
                <w:sz w:val="18"/>
                <w:szCs w:val="18"/>
                <w:rFonts w:ascii="Georgia" w:hAnsi="Georgia"/>
              </w:rPr>
            </w:r>
          </w:p>
        </w:tc>
        <w:tc>
          <w:tcPr/>
          <w:p w:rsidR="00000000" w:rsidDel="00000000" w:rsidP="00000000" w:rsidRDefault="00000000" w:rsidRPr="00000000" w14:paraId="0000022D">
            <w:pPr>
              <w:spacing w:before="0" w:after="0" w:line="240" w:lineRule="auto"/>
              <w:jc w:val="both"/>
              <w:rPr/>
            </w:pPr>
            <w:r>
              <w:rPr>
                <w:rFonts w:ascii="Georgia" w:cs="Georgia" w:eastAsia="Georgia" w:hAnsi="Georgia"/>
                <w:b w:val="0"/>
                <w:bCs w:val="0"/>
                <w:i w:val="0"/>
                <w:iCs w:val="0"/>
                <w:color w:val="000000"/>
                <w:sz w:val="18"/>
                <w:szCs w:val="18"/>
                <w:rtl w:val="0"/>
              </w:rPr>
              <w:t xml:space="preserve">“This led to the </w:t>
            </w:r>
            <w:r>
              <w:rPr>
                <w:rFonts w:ascii="Georgia" w:cs="Georgia" w:eastAsia="Georgia" w:hAnsi="Georgia"/>
                <w:b w:val="1"/>
                <w:bCs w:val="1"/>
                <w:strike w:val="0"/>
                <w:color w:val="000000"/>
                <w:sz w:val="18"/>
                <w:szCs w:val="18"/>
                <w:shd w:fill="bfbfbf" w:val="clear"/>
                <w:rtl w:val="0"/>
              </w:rPr>
              <w:t xml:space="preserve">conclusion that</w:t>
            </w:r>
            <w:r>
              <w:rPr>
                <w:rFonts w:ascii="Georgia" w:cs="Georgia" w:eastAsia="Georgia" w:hAnsi="Georgia"/>
                <w:b w:val="0"/>
                <w:bCs w:val="0"/>
                <w:i w:val="0"/>
                <w:iCs w:val="0"/>
                <w:color w:val="000000"/>
                <w:sz w:val="18"/>
                <w:szCs w:val="18"/>
                <w:rtl w:val="0"/>
              </w:rPr>
              <w:t xml:space="preserve"> all farms were free of it.”</w:t>
            </w:r>
            <w:r>
              <w:rPr>
                <w:rtl w:val="0"/>
                <w:sz w:val="18"/>
                <w:szCs w:val="18"/>
                <w:rFonts w:ascii="Georgia" w:hAnsi="Georgia"/>
              </w:rPr>
            </w:r>
          </w:p>
        </w:tc>
      </w:tr>
      <w:tr>
        <w:trPr>
          <w:cantSplit w:val="1"/>
          <w:tblHeader w:val="0"/>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18"/>
                <w:szCs w:val="18"/>
                <w:shd w:fill="bfbfbf" w:val="clear"/>
                <w:rtl w:val="0"/>
              </w:rPr>
              <w:t xml:space="preserve">      </w:t>
            </w:r>
            <w:r>
              <w:rPr>
                <w:rtl w:val="0"/>
                <w:sz w:val="18"/>
                <w:szCs w:val="18"/>
                <w:rFonts w:ascii="Georgia" w:hAnsi="Georgia"/>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18"/>
                <w:szCs w:val="18"/>
                <w:rtl w:val="0"/>
              </w:rPr>
              <w:t xml:space="preserve">A cause and effect link stated as established.</w:t>
            </w:r>
            <w:r>
              <w:rPr>
                <w:rtl w:val="0"/>
                <w:sz w:val="18"/>
                <w:szCs w:val="18"/>
                <w:rFonts w:ascii="Georgia" w:hAnsi="Georgia"/>
              </w:rPr>
            </w:r>
          </w:p>
        </w:tc>
        <w:tc>
          <w:tcPr/>
          <w:p w:rsidR="00000000" w:rsidDel="00000000" w:rsidP="00000000" w:rsidRDefault="00000000" w:rsidRPr="00000000" w14:paraId="00000231">
            <w:pPr>
              <w:spacing w:before="0" w:after="0" w:line="240" w:lineRule="auto"/>
              <w:jc w:val="both"/>
              <w:rPr/>
            </w:pPr>
            <w:r>
              <w:rPr>
                <w:rFonts w:ascii="Georgia" w:cs="Georgia" w:eastAsia="Georgia" w:hAnsi="Georgia"/>
                <w:b w:val="0"/>
                <w:bCs w:val="0"/>
                <w:i w:val="0"/>
                <w:iCs w:val="0"/>
                <w:color w:val="000000"/>
                <w:sz w:val="18"/>
                <w:szCs w:val="18"/>
                <w:rtl w:val="0"/>
              </w:rPr>
              <w:t xml:space="preserve">“Extracts </w:t>
            </w:r>
            <w:r>
              <w:rPr>
                <w:rFonts w:ascii="Georgia" w:cs="Georgia" w:eastAsia="Georgia" w:hAnsi="Georgia"/>
                <w:b w:val="1"/>
                <w:bCs w:val="1"/>
                <w:strike w:val="0"/>
                <w:color w:val="000000"/>
                <w:sz w:val="18"/>
                <w:szCs w:val="18"/>
                <w:shd w:fill="bfbfbf" w:val="clear"/>
                <w:rtl w:val="0"/>
              </w:rPr>
              <w:t xml:space="preserve">produce</w:t>
            </w:r>
            <w:r>
              <w:rPr>
                <w:rFonts w:ascii="Georgia" w:cs="Georgia" w:eastAsia="Georgia" w:hAnsi="Georgia"/>
                <w:b w:val="0"/>
                <w:bCs w:val="0"/>
                <w:i w:val="0"/>
                <w:iCs w:val="0"/>
                <w:color w:val="000000"/>
                <w:sz w:val="18"/>
                <w:szCs w:val="18"/>
                <w:rtl w:val="0"/>
              </w:rPr>
              <w:t xml:space="preserve"> comparable staining because they contain similar compounds.”</w:t>
            </w:r>
            <w:r>
              <w:rPr>
                <w:rtl w:val="0"/>
                <w:sz w:val="18"/>
                <w:szCs w:val="18"/>
                <w:rFonts w:ascii="Georgia" w:hAnsi="Georgia"/>
              </w:rPr>
            </w:r>
          </w:p>
        </w:tc>
      </w:tr>
    </w:tbl>
    <w:p w:rsidR="00000000" w:rsidDel="00000000" w:rsidP="00000000" w:rsidRDefault="00000000" w:rsidRPr="00000000" w14:paraId="0000027B">
      <w:pPr>
        <w:keepNext w:val="1"/>
        <w:keepLines w:val="1"/>
        <w:pageBreakBefore w:val="1"/>
        <w:spacing w:before="240" w:after="0" w:line="480" w:lineRule="auto"/>
        <w:jc w:val="left"/>
        <w:rPr/>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left"/>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0" w:after="0" w:line="480" w:lineRule="auto"/>
        <w:jc w:val="left"/>
        <w:rPr/>
      </w:pPr>
      <w:r>
        <w:rPr>
          <w:i w:val="1"/>
          <w:iCs w:val="1"/>
          <w:sz w:val="24"/>
          <w:szCs w:val="24"/>
          <w:rtl w:val="0"/>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left"/>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keepLines w:val="1"/>
        <w:spacing w:before="240" w:after="0" w:line="480" w:lineRule="auto"/>
        <w:jc w:val="left"/>
        <w:rPr/>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cs="Georgia" w:eastAsia="Georgia" w:hAnsi="Georgia"/>
          <w:b w:val="0"/>
          <w:bCs w:val="0"/>
          <w:i w:val="0"/>
          <w:iCs w:val="0"/>
          <w:sz w:val="22"/>
          <w:szCs w:val="22"/>
          <w:rtl w:val="0"/>
        </w:rPr>
        <w:t xml:space="preserve">This appendix presents the 60 abstracts with all coding marks applied. Layer 1 = color highlight on hedge tokens (blue = Modal Verbs, red = Lexical Hedges, yellow = Adverbial Hedges, green = Clause-Level Hedges). Layer 2 = function label in colored text (EC = orange, P = purple, DO = teal). Discourse connectors (Hence/Thus) are tagged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sz w:val="22"/>
          <w:szCs w:val="22"/>
          <w:rtl w:val="0"/>
        </w:rPr>
        <w:t xml:space="preserve"> even when not hedges. Layer 2 functions are only EC, P, and DO. False positives = strikethrough + reason code in grey (e.g. FP-Rec = recommendation, not a function). Layer 3 (unhedged sites) = grey highlight + [R]/[G]/[C] bracket.</w:t>
      </w:r>
      <w:r>
        <w:rPr>
          <w:rtl w:val="0"/>
        </w:rPr>
      </w:r>
    </w:p>
    <w:p w:rsidR="00000000" w:rsidDel="00000000" w:rsidP="00000000" w:rsidRDefault="00000000" w:rsidRPr="00000000" w14:paraId="0000029F">
      <w:pPr>
        <w:spacing w:before="0" w:after="0" w:line="480" w:lineRule="auto"/>
        <w:jc w:val="center"/>
        <w:rPr/>
      </w:pPr>
      <w:r>
        <w:rPr>
          <w:rFonts w:ascii="Georgia" w:cs="Georgia" w:eastAsia="Georgia" w:hAnsi="Georgia"/>
          <w:b w:val="1"/>
          <w:bCs w:val="1"/>
          <w:i w:val="0"/>
          <w:iCs w:val="0"/>
          <w:sz w:val="24"/>
          <w:szCs w:val="24"/>
          <w:rtl w:val="0"/>
        </w:rPr>
        <w:t xml:space="preserve">Biology (B1–B20)</w:t>
      </w:r>
      <w:r>
        <w:rPr>
          <w:rtl w:val="0"/>
        </w:rPr>
      </w:r>
    </w:p>
    <w:p w:rsidR="00000000" w:rsidDel="00000000" w:rsidP="00000000" w:rsidRDefault="00000000" w:rsidRPr="00000000" w14:paraId="000002A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cs="Georgia" w:eastAsia="Georgia" w:hAnsi="Georgia"/>
          <w:b w:val="0"/>
          <w:bCs w:val="0"/>
          <w:i w:val="0"/>
          <w:iCs w:val="0"/>
          <w:color w:val="000000"/>
          <w:sz w:val="22"/>
          <w:szCs w:val="22"/>
          <w:rtl w:val="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Bacillus subtilis BIOTECH 1679 was assessed under greenhouse conditions. Results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Caudex" w:cs="Caudex" w:eastAsia="Caudex" w:hAnsi="Caudex"/>
          <w:b w:val="0"/>
          <w:bCs w:val="0"/>
          <w:i w:val="0"/>
          <w:iCs w:val="0"/>
          <w:color w:val="000000"/>
          <w:sz w:val="22"/>
          <w:szCs w:val="22"/>
          <w:rtl w:val="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ungsuh" w:cs="Gungsuh" w:eastAsia="Gungsuh" w:hAnsi="Gungsuh"/>
          <w:b w:val="0"/>
          <w:bCs w:val="0"/>
          <w:i w:val="0"/>
          <w:iCs w:val="0"/>
          <w:color w:val="000000"/>
          <w:sz w:val="22"/>
          <w:szCs w:val="22"/>
          <w:rtl w:val="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 subtilis as a sustainable solution for managing onion supply demands, contributing to eco-friendly and alternative strategies in agriculture from local to global use.</w:t>
      </w:r>
      <w:r>
        <w:rPr>
          <w:rtl w:val="0"/>
        </w:rPr>
      </w:r>
    </w:p>
    <w:p w:rsidR="00000000" w:rsidDel="00000000" w:rsidP="00000000" w:rsidRDefault="00000000" w:rsidRPr="00000000" w14:paraId="000002A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the zone of inhibition in the evaluation of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Balitbitan on Mueller Hinton Agar. The treatment evaluated as follows: T1 (Balitbitan extract in Methanol), T2 (Balitbitan extract in Hexane) and T3 (Balitbitan extract in DCM). The result of antibacterial testing </w:t>
      </w:r>
      <w:r>
        <w:rPr>
          <w:rFonts w:ascii="Georgia" w:cs="Georgia" w:eastAsia="Georgia" w:hAnsi="Georgia"/>
          <w:b w:val="1"/>
          <w:bCs w:val="1"/>
          <w:strike w:val="0"/>
          <w:color w:val="000000"/>
          <w:sz w:val="22"/>
          <w:szCs w:val="22"/>
          <w:shd w:fill="bfbfbf" w:val="clear"/>
          <w:rtl w:val="0"/>
        </w:rPr>
        <w:t xml:space="preserve">revealed that the Partial Fraction of Balitbitan (Cynometra ramiflora) did not possess the property to inhibit the growth of Staphylococcus aureus and Escherichia coli</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There was no zone of inhibition when treated with the partial fraction of Balitbitan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A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cs="Georgia" w:eastAsia="Georgia" w:hAnsi="Georgia"/>
          <w:b w:val="0"/>
          <w:bCs w:val="0"/>
          <w:i w:val="0"/>
          <w:iCs w:val="0"/>
          <w:color w:val="000000"/>
          <w:sz w:val="22"/>
          <w:szCs w:val="22"/>
          <w:rtl w:val="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unsafe conditions for water consumption for November and December. In addition, lead levels were within safe limits, while mercury levels in soil exceeded recommended guidelines, raising further concerns about environmental health.</w:t>
      </w:r>
      <w:r>
        <w:rPr>
          <w:rtl w:val="0"/>
        </w:rPr>
      </w:r>
    </w:p>
    <w:p w:rsidR="00000000" w:rsidDel="00000000" w:rsidP="00000000" w:rsidRDefault="00000000" w:rsidRPr="00000000" w14:paraId="000002A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acute toxicity and antitussive activity of Mimosa pudica (Makahiya) ethanolic extract in ICR mice to assess its safety and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Mimosa pudica has promising antitussive properties and a wide safety margin, supporting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accessible herbal alternative for managing cough. The presence of bioactive compounds such as flavonoids and saponins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its therapeutic effects. Further studies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confirm its long-term safety, refine dosing, and better understand its mechanisms of action.</w:t>
      </w:r>
      <w:r>
        <w:rPr>
          <w:rtl w:val="0"/>
        </w:rPr>
      </w:r>
    </w:p>
    <w:p w:rsidR="00000000" w:rsidDel="00000000" w:rsidP="00000000" w:rsidRDefault="00000000" w:rsidRPr="00000000" w14:paraId="000002A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cs="Georgia" w:eastAsia="Georgia" w:hAnsi="Georgia"/>
          <w:b w:val="0"/>
          <w:bCs w:val="0"/>
          <w:i w:val="0"/>
          <w:iCs w:val="0"/>
          <w:color w:val="000000"/>
          <w:sz w:val="22"/>
          <w:szCs w:val="22"/>
          <w:rtl w:val="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antioxidant and antibacterial sources.</w:t>
      </w:r>
      <w:r>
        <w:rPr>
          <w:rtl w:val="0"/>
        </w:rPr>
      </w:r>
    </w:p>
    <w:p w:rsidR="00000000" w:rsidDel="00000000" w:rsidP="00000000" w:rsidRDefault="00000000" w:rsidRPr="00000000" w14:paraId="000002A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would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Pr>
          <w:rFonts w:ascii="Georgia" w:cs="Georgia" w:eastAsia="Georgia" w:hAnsi="Georgia"/>
          <w:b w:val="1"/>
          <w:bCs w:val="1"/>
          <w:strike w:val="0"/>
          <w:color w:val="000000"/>
          <w:sz w:val="22"/>
          <w:szCs w:val="22"/>
          <w:shd w:fill="bfbfbf" w:val="clear"/>
          <w:rtl w:val="0"/>
        </w:rPr>
        <w:t xml:space="preserve">revealed that the eco-bricks from all treatments were significantly damaged at the height of one meter, making them a weak, unsuitable material to use in building walkways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This study is essential for getting insights into eco-brick manufacture because the workability of SUPs and UCOs as raw materials is proven. </w:t>
      </w:r>
      <w:r>
        <w:rPr>
          <w:rFonts w:ascii="Georgia" w:cs="Georgia" w:eastAsia="Georgia" w:hAnsi="Georgia"/>
          <w:b w:val="1"/>
          <w:bCs w:val="1"/>
          <w:strike w:val="0"/>
          <w:color w:val="000000"/>
          <w:sz w:val="22"/>
          <w:szCs w:val="22"/>
          <w:shd w:fill="bfbfbf" w:val="clear"/>
          <w:rtl w:val="0"/>
        </w:rPr>
        <w:t xml:space="preserve">The research findings do not apply to buildings</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further research </w:t>
      </w:r>
      <w:r>
        <w:rPr>
          <w:rFonts w:ascii="Georgia" w:cs="Georgia" w:eastAsia="Georgia" w:hAnsi="Georgia"/>
          <w:b w:val="1"/>
          <w:bCs w:val="1"/>
          <w:strike w:val="1"/>
          <w:color w:val="000000"/>
          <w:sz w:val="22"/>
          <w:szCs w:val="22"/>
          <w:rtl w:val="0"/>
        </w:rPr>
        <w:t xml:space="preserve">will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aid in underlining the importance of optimizing the ingredient ratios to acquire desirable quality eco-bricks for sustainable construction applications.</w:t>
      </w:r>
      <w:r>
        <w:rPr>
          <w:rtl w:val="0"/>
        </w:rPr>
      </w:r>
    </w:p>
    <w:p w:rsidR="00000000" w:rsidDel="00000000" w:rsidP="00000000" w:rsidRDefault="00000000" w:rsidRPr="00000000" w14:paraId="000002A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cs="Georgia" w:eastAsia="Georgia" w:hAnsi="Georgia"/>
          <w:b w:val="0"/>
          <w:bCs w:val="0"/>
          <w:i w:val="0"/>
          <w:iCs w:val="0"/>
          <w:color w:val="000000"/>
          <w:sz w:val="22"/>
          <w:szCs w:val="22"/>
          <w:rtl w:val="0"/>
        </w:rPr>
        <w:t xml:space="preserve">The study </w:t>
      </w:r>
      <w:r>
        <w:rPr>
          <w:rFonts w:ascii="Georgia" w:cs="Georgia" w:eastAsia="Georgia" w:hAnsi="Georgia"/>
          <w:b w:val="1"/>
          <w:bCs w:val="1"/>
          <w:strike w:val="1"/>
          <w:color w:val="000000"/>
          <w:sz w:val="22"/>
          <w:szCs w:val="22"/>
          <w:rtl w:val="0"/>
        </w:rPr>
        <w:t xml:space="preserve">generally</w:t>
      </w:r>
      <w:r>
        <w:rPr>
          <w:rFonts w:ascii="Georgia" w:cs="Georgia" w:eastAsia="Georgia" w:hAnsi="Georgia"/>
          <w:b w:val="0"/>
          <w:bCs w:val="0"/>
          <w:i w:val="0"/>
          <w:iCs w:val="0"/>
          <w:color w:val="808080"/>
          <w:sz w:val="20"/>
          <w:szCs w:val="20"/>
          <w:rtl w:val="0"/>
        </w:rPr>
        <w:t xml:space="preserve"> (FP-Proc)</w:t>
      </w:r>
      <w:r>
        <w:rPr>
          <w:rFonts w:ascii="Georgia" w:cs="Georgia" w:eastAsia="Georgia" w:hAnsi="Georgia"/>
          <w:b w:val="0"/>
          <w:bCs w:val="0"/>
          <w:i w:val="0"/>
          <w:iCs w:val="0"/>
          <w:color w:val="000000"/>
          <w:sz w:val="22"/>
          <w:szCs w:val="22"/>
          <w:rtl w:val="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w:t>
      </w:r>
      <w:r>
        <w:rPr>
          <w:color w:val="00B0F0"/>
        </w:rPr>
        <w:t>(DO)</w:t>
      </w:r>
      <w:r>
        <w:rPr>
          <w:rFonts w:ascii="Georgia" w:cs="Georgia" w:eastAsia="Georgia" w:hAnsi="Georgia"/>
          <w:b w:val="0"/>
          <w:bCs w:val="0"/>
          <w:i w:val="0"/>
          <w:iCs w:val="0"/>
          <w:color w:val="000000"/>
          <w:sz w:val="22"/>
          <w:szCs w:val="22"/>
          <w:rtl w:val="0"/>
        </w:rPr>
        <w:t xml:space="preserve">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cs="Georgia" w:eastAsia="Georgia" w:hAnsi="Georgia"/>
          <w:b w:val="1"/>
          <w:bCs w:val="1"/>
          <w:strike w:val="0"/>
          <w:color w:val="ffffff"/>
          <w:sz w:val="22"/>
          <w:szCs w:val="22"/>
          <w:highlight w:val="red"/>
          <w:rtl w:val="0"/>
        </w:rPr>
        <w:t xml:space="preserve">inferring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such observation was induced by the Z. talanai-infused nanozeolite pellet suspension.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biosynthesis of Z. talanai-infused nanozeolite pellets is feasible and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affect the overall development of D. rerio embryos.</w:t>
      </w:r>
      <w:r>
        <w:rPr>
          <w:rtl w:val="0"/>
        </w:rPr>
      </w:r>
    </w:p>
    <w:p w:rsidR="00000000" w:rsidDel="00000000" w:rsidP="00000000" w:rsidRDefault="00000000" w:rsidRPr="00000000" w14:paraId="000002B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cs="Georgia" w:eastAsia="Georgia" w:hAnsi="Georgia"/>
          <w:b w:val="0"/>
          <w:bCs w:val="0"/>
          <w:i w:val="0"/>
          <w:iCs w:val="0"/>
          <w:color w:val="000000"/>
          <w:sz w:val="22"/>
          <w:szCs w:val="22"/>
          <w:rtl w:val="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control bacterial infections caused by multi-drug resistant pathogens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considered.</w:t>
      </w:r>
      <w:r>
        <w:rPr>
          <w:rtl w:val="0"/>
        </w:rPr>
      </w:r>
    </w:p>
    <w:p w:rsidR="00000000" w:rsidDel="00000000" w:rsidP="00000000" w:rsidRDefault="00000000" w:rsidRPr="00000000" w14:paraId="000002B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cs="Georgia" w:eastAsia="Georgia" w:hAnsi="Georgia"/>
          <w:b w:val="0"/>
          <w:bCs w:val="0"/>
          <w:i w:val="0"/>
          <w:iCs w:val="0"/>
          <w:color w:val="000000"/>
          <w:sz w:val="22"/>
          <w:szCs w:val="22"/>
          <w:rtl w:val="0"/>
        </w:rPr>
        <w:t xml:space="preserve">This study aimed to identify the histoprotective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cs="Georgia" w:eastAsia="Georgia" w:hAnsi="Georgia"/>
          <w:b w:val="1"/>
          <w:bCs w:val="1"/>
          <w:strike w:val="0"/>
          <w:color w:val="000000"/>
          <w:sz w:val="22"/>
          <w:szCs w:val="22"/>
          <w:shd w:fill="bfbfbf" w:val="clear"/>
          <w:rtl w:val="0"/>
        </w:rPr>
        <w:t xml:space="preserve">All mice treated with pure leaf extract of Z. talanai, monosodium glutamate, distilled water and L-Taurine showed a significant effect (lesions / aberrations) to the cytoarchitecture of liver and kidney</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cs="Georgia" w:eastAsia="Georgia" w:hAnsi="Georgia"/>
          <w:b w:val="1"/>
          <w:bCs w:val="1"/>
          <w:strike w:val="0"/>
          <w:color w:val="000000"/>
          <w:sz w:val="22"/>
          <w:szCs w:val="22"/>
          <w:shd w:fill="bfbfbf" w:val="clear"/>
          <w:rtl w:val="0"/>
        </w:rPr>
        <w:t xml:space="preserve">pure MSG and pure ethanolic leaf extract of Z. talanai caused the lesions / aberrations to the liver and kidney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Pr>
          <w:rtl w:val="0"/>
        </w:rPr>
      </w:r>
    </w:p>
    <w:p w:rsidR="00000000" w:rsidDel="00000000" w:rsidP="00000000" w:rsidRDefault="00000000" w:rsidRPr="00000000" w14:paraId="000002B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cs="Georgia" w:eastAsia="Georgia" w:hAnsi="Georgia"/>
          <w:b w:val="0"/>
          <w:bCs w:val="0"/>
          <w:i w:val="0"/>
          <w:iCs w:val="0"/>
          <w:color w:val="000000"/>
          <w:sz w:val="22"/>
          <w:szCs w:val="22"/>
          <w:rtl w:val="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researcher provided a policy proposal to focus on issues that needed to be addressed in the community. In terms of practices, proper waste management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established to avoid the high danger of heavy metal contamination. Certain local habits, such as waste dumping and other communal activities,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contribute to the spread of heavy metals. As a result, some community or local government-adopted measures are </w:t>
      </w:r>
      <w:r>
        <w:rPr>
          <w:rFonts w:ascii="Georgia" w:cs="Georgia" w:eastAsia="Georgia" w:hAnsi="Georgia"/>
          <w:b w:val="1"/>
          <w:bCs w:val="1"/>
          <w:strike w:val="1"/>
          <w:color w:val="000000"/>
          <w:sz w:val="22"/>
          <w:szCs w:val="22"/>
          <w:rtl w:val="0"/>
        </w:rPr>
        <w:t xml:space="preserve">proposed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These precautions are intended to prevent heavy metal contamination, particularly in the river system and the aquatic life in the area.</w:t>
      </w:r>
      <w:r>
        <w:rPr>
          <w:rtl w:val="0"/>
        </w:rPr>
      </w:r>
    </w:p>
    <w:p w:rsidR="00000000" w:rsidDel="00000000" w:rsidP="00000000" w:rsidRDefault="00000000" w:rsidRPr="00000000" w14:paraId="000002B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cs="Georgia" w:eastAsia="Georgia" w:hAnsi="Georgia"/>
          <w:b w:val="0"/>
          <w:bCs w:val="0"/>
          <w:i w:val="0"/>
          <w:iCs w:val="0"/>
          <w:color w:val="000000"/>
          <w:sz w:val="22"/>
          <w:szCs w:val="22"/>
          <w:rtl w:val="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investigate the presence of potential (EC)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[R].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provides a comprehensive approach for diagnosing and studying mycobacteriosis in cultivated milkfish [G], offering insights that can (FP-Cap) guide effective management strategies to control the spread of this disease in aquaculture system.</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cs="Georgia" w:eastAsia="Georgia" w:hAnsi="Georgia"/>
          <w:b w:val="0"/>
          <w:bCs w:val="0"/>
          <w:i w:val="0"/>
          <w:iCs w:val="0"/>
          <w:color w:val="000000"/>
          <w:sz w:val="22"/>
          <w:szCs w:val="22"/>
          <w:rtl w:val="0"/>
        </w:rPr>
        <w:t xml:space="preserve">Antimicrobial resistance is a major threat to public health worldwide, making infections difficult to treat. This problem calls for developing novel and alternative strategies to attenuate microorganisms without inducing resistance.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lactic acid bacteria (LAB) have emerged as a focal point due to their potential (EC) quorum quenching (QQ) activities. In this study, lactic acid bacteria were obtained from a parallel study, and the antimicrobial activity of the top 10 isolates was evaluated through spectrophotometric and turbidimetric analyses for the initial screening of gut isolates. Nine out of ten isolates exhibit quorum quenching activities by inhibiting the swarming motility of Pseudomonas aeruginosa [R].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 [R].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B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cs="Georgia" w:eastAsia="Georgia" w:hAnsi="Georgia"/>
          <w:b w:val="0"/>
          <w:bCs w:val="0"/>
          <w:i w:val="0"/>
          <w:iCs w:val="0"/>
          <w:color w:val="000000"/>
          <w:sz w:val="22"/>
          <w:szCs w:val="22"/>
          <w:rtl w:val="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its antibacterial property is dose dependent.</w:t>
      </w:r>
      <w:r>
        <w:rPr>
          <w:rtl w:val="0"/>
        </w:rPr>
      </w:r>
    </w:p>
    <w:p w:rsidR="00000000" w:rsidDel="00000000" w:rsidP="00000000" w:rsidRDefault="00000000" w:rsidRPr="00000000" w14:paraId="000002B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cs="Georgia" w:eastAsia="Georgia" w:hAnsi="Georgia"/>
          <w:b w:val="0"/>
          <w:bCs w:val="0"/>
          <w:i w:val="0"/>
          <w:iCs w:val="0"/>
          <w:color w:val="000000"/>
          <w:sz w:val="22"/>
          <w:szCs w:val="22"/>
          <w:rtl w:val="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All experiments were performed in triplicate and were presented as mean + SD. Statistical analysis performed using One-way, Univariate ANOVA, and Tukey’s HSD Multiple Comparison Test. The findings of this study showed and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extraction efficiency favors the highly polar solvents than the non-polar solvents in determining the antifungal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E. indica against Colletotrichum spp.. The findings of this study attested that this specific type of grass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highlight w:val="yellow"/>
          <w:rtl w:val="0"/>
        </w:rPr>
        <w:t xml:space="preserve">potentially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used as biofungicide agent.</w:t>
      </w:r>
      <w:r>
        <w:rPr>
          <w:rtl w:val="0"/>
        </w:rPr>
      </w:r>
    </w:p>
    <w:p w:rsidR="00000000" w:rsidDel="00000000" w:rsidP="00000000" w:rsidRDefault="00000000" w:rsidRPr="00000000" w14:paraId="000002B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cs="Georgia" w:eastAsia="Georgia" w:hAnsi="Georgia"/>
          <w:b w:val="0"/>
          <w:bCs w:val="0"/>
          <w:i w:val="0"/>
          <w:iCs w:val="0"/>
          <w:color w:val="000000"/>
          <w:sz w:val="22"/>
          <w:szCs w:val="22"/>
          <w:rtl w:val="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variations in thermal stability among the different plate materials.</w:t>
      </w:r>
      <w:r>
        <w:rPr>
          <w:rtl w:val="0"/>
        </w:rPr>
      </w:r>
    </w:p>
    <w:p w:rsidR="00000000" w:rsidDel="00000000" w:rsidP="00000000" w:rsidRDefault="00000000" w:rsidRPr="00000000" w14:paraId="000002C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cs="Georgia" w:eastAsia="Georgia" w:hAnsi="Georgia"/>
          <w:b w:val="0"/>
          <w:bCs w:val="0"/>
          <w:i w:val="0"/>
          <w:iCs w:val="0"/>
          <w:color w:val="000000"/>
          <w:sz w:val="22"/>
          <w:szCs w:val="22"/>
          <w:rtl w:val="0"/>
        </w:rPr>
        <w:t xml:space="preserve">Methicillin-resistant Staphylococcus aureus (MRSA) is a common and potentially (EC) severe pathogen that has developed resistance to several types of antibiotics. MRSA bacteria can (FP-Cap) survive long on surfaces and objects, including second-hand clothing (SHC). The increasing popularity of SHC or “ukay-ukay” in the Philippines, coupled with potential (EC) public health concerns associated with transmitting pathogenic bacteria, emphasized this research’s need.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potential (EC) public health risks associated with the handling and purchasing of second-hand clothing. This study, therefore </w:t>
      </w:r>
      <w:r>
        <w:rPr>
          <w:color w:val="00B0F0"/>
        </w:rPr>
        <w:t>(DO)</w:t>
      </w:r>
      <w:r>
        <w:rPr>
          <w:rFonts w:ascii="Georgia" w:cs="Georgia" w:eastAsia="Georgia" w:hAnsi="Georgia"/>
          <w:b w:val="0"/>
          <w:bCs w:val="0"/>
          <w:i w:val="0"/>
          <w:iCs w:val="0"/>
          <w:color w:val="000000"/>
          <w:sz w:val="22"/>
          <w:szCs w:val="22"/>
          <w:rtl w:val="0"/>
        </w:rPr>
        <w:t xml:space="preserve">, underscores the need for proper precautions to mitigate the spread of potentially (EC) harmful bacteria, including MRSA, on second-hand clothing. It highlights the importance of raising awareness among both vendors and consumers about the potential (EC) health risks associated with these garments.</w:t>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highlight w:val="yellow"/>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ffffff"/>
          <w:sz w:val="22"/>
          <w:szCs w:val="22"/>
          <w:highlight w:val="red"/>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C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cs="Georgia" w:eastAsia="Georgia" w:hAnsi="Georgia"/>
          <w:b w:val="0"/>
          <w:bCs w:val="0"/>
          <w:i w:val="0"/>
          <w:iCs w:val="0"/>
          <w:color w:val="000000"/>
          <w:sz w:val="22"/>
          <w:szCs w:val="22"/>
          <w:rtl w:val="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by the reduction of DPPH radicals. The TLC-MTT overlay assay showed that the extract exhibits antibacterial activity against S. aureus but was ineffective against E. coli,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selective antibacterial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The findings indicate that P. propinquum fruit ethanolic extract contains bioactive compounds with antioxidant and selective antibacterial properties. Further studies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focus on the isolation and characterization of its active compounds, their mechanisms of action, and their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pharmaceutical applications.</w:t>
      </w:r>
      <w:r>
        <w:rPr>
          <w:rtl w:val="0"/>
        </w:rPr>
      </w:r>
    </w:p>
    <w:p w:rsidR="00000000" w:rsidDel="00000000" w:rsidP="00000000" w:rsidRDefault="00000000" w:rsidRPr="00000000" w14:paraId="000002C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Pr>
          <w:rtl w:val="0"/>
        </w:rPr>
      </w:r>
    </w:p>
    <w:p w:rsidR="00000000" w:rsidDel="00000000" w:rsidP="00000000" w:rsidRDefault="00000000" w:rsidRPr="00000000" w14:paraId="000002C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cs="Georgia" w:eastAsia="Georgia" w:hAnsi="Georgia"/>
          <w:b w:val="0"/>
          <w:bCs w:val="0"/>
          <w:i w:val="0"/>
          <w:iCs w:val="0"/>
          <w:color w:val="000000"/>
          <w:sz w:val="22"/>
          <w:szCs w:val="22"/>
          <w:rtl w:val="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sustainable planning and management approaches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local government </w:t>
      </w:r>
      <w:r>
        <w:rPr>
          <w:rFonts w:ascii="Georgia" w:cs="Georgia" w:eastAsia="Georgia" w:hAnsi="Georgia"/>
          <w:b w:val="1"/>
          <w:bCs w:val="1"/>
          <w:strike w:val="1"/>
          <w:color w:val="000000"/>
          <w:sz w:val="22"/>
          <w:szCs w:val="22"/>
          <w:rtl w:val="0"/>
        </w:rPr>
        <w:t xml:space="preserve">should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address the </w:t>
      </w:r>
      <w:r>
        <w:rPr>
          <w:rFonts w:ascii="Georgia" w:cs="Georgia" w:eastAsia="Georgia" w:hAnsi="Georgia"/>
          <w:b w:val="1"/>
          <w:bCs w:val="1"/>
          <w:strike w:val="0"/>
          <w:color w:val="ffffff"/>
          <w:sz w:val="22"/>
          <w:szCs w:val="22"/>
          <w:highlight w:val="red"/>
          <w:rtl w:val="0"/>
        </w:rPr>
        <w:t xml:space="preserve">possible</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negative impacts of tourism activities and manage the carrying capacity for sustainable tourism.</w:t>
      </w:r>
      <w:r>
        <w:rPr>
          <w:rtl w:val="0"/>
        </w:rPr>
      </w:r>
    </w:p>
    <w:p w:rsidR="00000000" w:rsidDel="00000000" w:rsidP="00000000" w:rsidRDefault="00000000" w:rsidRPr="00000000" w14:paraId="000002C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cs="Georgia" w:eastAsia="Georgia" w:hAnsi="Georgia"/>
          <w:b w:val="0"/>
          <w:bCs w:val="0"/>
          <w:i w:val="0"/>
          <w:iCs w:val="0"/>
          <w:color w:val="000000"/>
          <w:sz w:val="22"/>
          <w:szCs w:val="22"/>
          <w:rtl w:val="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aims to examine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study aimed to investigate the antagonistic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Trichoderma harzianum among the four isolates. The results </w:t>
      </w:r>
      <w:r>
        <w:rPr>
          <w:rFonts w:ascii="Georgia" w:cs="Georgia" w:eastAsia="Georgia" w:hAnsi="Georgia"/>
          <w:b w:val="1"/>
          <w:bCs w:val="1"/>
          <w:strike w:val="1"/>
          <w:color w:val="000000"/>
          <w:sz w:val="22"/>
          <w:szCs w:val="22"/>
          <w:rtl w:val="0"/>
        </w:rPr>
        <w:t xml:space="preserve">indicate</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cs="Georgia" w:eastAsia="Georgia" w:hAnsi="Georgia"/>
          <w:b w:val="1"/>
          <w:bCs w:val="1"/>
          <w:strike w:val="0"/>
          <w:color w:val="ffffff"/>
          <w:sz w:val="22"/>
          <w:szCs w:val="22"/>
          <w:highlight w:val="red"/>
          <w:rtl w:val="0"/>
        </w:rPr>
        <w:t xml:space="preserve">suggesting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 fungus had a similar impact on the growth of all four test variables.</w:t>
      </w:r>
      <w:r>
        <w:rPr>
          <w:rtl w:val="0"/>
        </w:rPr>
      </w:r>
    </w:p>
    <w:p w:rsidR="00000000" w:rsidDel="00000000" w:rsidP="00000000" w:rsidRDefault="00000000" w:rsidRPr="00000000" w14:paraId="000002CB">
      <w:pPr>
        <w:spacing w:before="0" w:after="0" w:line="480" w:lineRule="auto"/>
        <w:jc w:val="center"/>
        <w:rPr/>
      </w:pPr>
      <w:r>
        <w:rPr>
          <w:rFonts w:ascii="Georgia" w:cs="Georgia" w:eastAsia="Georgia" w:hAnsi="Georgia"/>
          <w:b w:val="1"/>
          <w:bCs w:val="1"/>
          <w:i w:val="0"/>
          <w:iCs w:val="0"/>
          <w:sz w:val="24"/>
          <w:szCs w:val="24"/>
          <w:rtl w:val="0"/>
        </w:rPr>
        <w:t xml:space="preserve">Veterinary Medicine (VM1–VM20)</w:t>
      </w:r>
      <w:r>
        <w:rPr>
          <w:rtl w:val="0"/>
        </w:rPr>
      </w:r>
    </w:p>
    <w:p w:rsidR="00000000" w:rsidDel="00000000" w:rsidP="00000000" w:rsidRDefault="00000000" w:rsidRPr="00000000" w14:paraId="000002C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cs="Georgia" w:eastAsia="Georgia" w:hAnsi="Georgia"/>
          <w:b w:val="1"/>
          <w:bCs w:val="1"/>
          <w:strike w:val="0"/>
          <w:color w:val="000000"/>
          <w:sz w:val="22"/>
          <w:szCs w:val="22"/>
          <w:shd w:fill="bfbfbf" w:val="clear"/>
          <w:rtl w:val="0"/>
        </w:rPr>
        <w:t xml:space="preserve">T1 revealed that Zoletil® alone is not enough to fully induce Stage 3 anesthesia in zebrafish</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when sodium bicarbonate was added, Stage 3 was achieved, while using only a small amount of Zoletil®</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it was also revealed that 40 g/L of sodium bicarbonate was sufficient to induce Stage 3 anesthesia in zebrafish.</w:t>
      </w:r>
      <w:r>
        <w:rPr>
          <w:rtl w:val="0"/>
        </w:rPr>
      </w:r>
    </w:p>
    <w:p w:rsidR="00000000" w:rsidDel="00000000" w:rsidP="00000000" w:rsidRDefault="00000000" w:rsidRPr="00000000" w14:paraId="000002C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cs="Georgia" w:eastAsia="Georgia" w:hAnsi="Georgia"/>
          <w:b w:val="1"/>
          <w:bCs w:val="1"/>
          <w:strike w:val="0"/>
          <w:color w:val="ffffff"/>
          <w:sz w:val="22"/>
          <w:szCs w:val="22"/>
          <w:highlight w:val="red"/>
          <w:rtl w:val="0"/>
        </w:rPr>
        <w:t xml:space="preserve">indicating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cs="Georgia" w:eastAsia="Georgia" w:hAnsi="Georgia"/>
          <w:b w:val="1"/>
          <w:bCs w:val="1"/>
          <w:strike w:val="0"/>
          <w:color w:val="ffffff"/>
          <w:sz w:val="22"/>
          <w:szCs w:val="22"/>
          <w:highlight w:val="red"/>
          <w:rtl w:val="0"/>
        </w:rPr>
        <w:t xml:space="preserve">likely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to engage in responsible and humane behavior toward stray animals. The results obtained served as baseline information for future endeavors in promoting responsible pet ownership for the welfare of companion animals and the community.</w:t>
      </w:r>
      <w:r>
        <w:rPr>
          <w:rtl w:val="0"/>
        </w:rPr>
      </w:r>
    </w:p>
    <w:p w:rsidR="00000000" w:rsidDel="00000000" w:rsidP="00000000" w:rsidRDefault="00000000" w:rsidRPr="00000000" w14:paraId="000002D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cs="Georgia" w:eastAsia="Georgia" w:hAnsi="Georgia"/>
          <w:b w:val="1"/>
          <w:bCs w:val="1"/>
          <w:strike w:val="0"/>
          <w:color w:val="000000"/>
          <w:sz w:val="22"/>
          <w:szCs w:val="22"/>
          <w:shd w:fill="bfbfbf" w:val="clear"/>
          <w:rtl w:val="0"/>
        </w:rPr>
        <w:t xml:space="preserve">the evaluation of retail egg vendors showed a major issue of reusing the egg trays across vendors which has been strongly linked to bacterial growth on eggshells, yolks and albumen, with p-values of 0.030 and 0.014, respectively</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The findings </w:t>
      </w:r>
      <w:r>
        <w:rPr>
          <w:rFonts w:ascii="Georgia" w:cs="Georgia" w:eastAsia="Georgia" w:hAnsi="Georgia"/>
          <w:b w:val="1"/>
          <w:bCs w:val="1"/>
          <w:strike w:val="1"/>
          <w:color w:val="000000"/>
          <w:sz w:val="22"/>
          <w:szCs w:val="22"/>
          <w:rtl w:val="0"/>
        </w:rPr>
        <w:t xml:space="preserve">suggests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for assessment of knowledge, attitudes and practices of retail egg vendors about food safety and regular antimicrobial resistance monitoring on retail eggs.</w:t>
      </w:r>
      <w:r>
        <w:rPr>
          <w:rtl w:val="0"/>
        </w:rPr>
      </w:r>
    </w:p>
    <w:p w:rsidR="00000000" w:rsidDel="00000000" w:rsidP="00000000" w:rsidRDefault="00000000" w:rsidRPr="00000000" w14:paraId="000002D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cs="Georgia" w:eastAsia="Georgia" w:hAnsi="Georgia"/>
          <w:b w:val="0"/>
          <w:bCs w:val="0"/>
          <w:i w:val="0"/>
          <w:iCs w:val="0"/>
          <w:color w:val="000000"/>
          <w:sz w:val="22"/>
          <w:szCs w:val="22"/>
          <w:rtl w:val="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cs="Georgia" w:eastAsia="Georgia" w:hAnsi="Georgia"/>
          <w:b w:val="1"/>
          <w:bCs w:val="1"/>
          <w:strike w:val="0"/>
          <w:color w:val="000000"/>
          <w:sz w:val="22"/>
          <w:szCs w:val="22"/>
          <w:shd w:fill="bfbfbf" w:val="clear"/>
          <w:rtl w:val="0"/>
        </w:rPr>
        <w:t xml:space="preserve">Results indicated that most vendors lacked formal training in milk-handling (100 %) did not use refrigeration, new bottles, or any preservation methods (100%)</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cs="Georgia" w:eastAsia="Georgia" w:hAnsi="Georgia"/>
          <w:b w:val="1"/>
          <w:bCs w:val="1"/>
          <w:strike w:val="1"/>
          <w:color w:val="000000"/>
          <w:sz w:val="22"/>
          <w:szCs w:val="22"/>
          <w:rtl w:val="0"/>
        </w:rPr>
        <w:t xml:space="preserve">suggest</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the need to improve training, regulation of milk storage, and the enforcement of labeling and sanitation standards to improve public health safety in the milk supply chain.</w:t>
      </w:r>
      <w:r>
        <w:rPr>
          <w:rtl w:val="0"/>
        </w:rPr>
      </w:r>
    </w:p>
    <w:p w:rsidR="00000000" w:rsidDel="00000000" w:rsidP="00000000" w:rsidRDefault="00000000" w:rsidRPr="00000000" w14:paraId="000002D4">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cs="Georgia" w:eastAsia="Georgia" w:hAnsi="Georgia"/>
          <w:b w:val="0"/>
          <w:bCs w:val="0"/>
          <w:i w:val="0"/>
          <w:iCs w:val="0"/>
          <w:color w:val="000000"/>
          <w:sz w:val="22"/>
          <w:szCs w:val="22"/>
          <w:rtl w:val="0"/>
        </w:rPr>
        <w:t xml:space="preserve">The prevalence of dermatophytosis and emerging drug resistance underscores the need for alternative therapeutic approaches, leading to a focus on medicinal plants. This study explores the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M. calabura L. as a source of antifungal agents, warranting further investigation into its therapeutic applications and formulation for dermatophytosis management.</w:t>
      </w:r>
      <w:r>
        <w:rPr>
          <w:rtl w:val="0"/>
        </w:rPr>
      </w:r>
    </w:p>
    <w:p w:rsidR="00000000" w:rsidDel="00000000" w:rsidP="00000000" w:rsidRDefault="00000000" w:rsidRPr="00000000" w14:paraId="000002D6">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cs="Georgia" w:eastAsia="Georgia" w:hAnsi="Georgia"/>
          <w:b w:val="0"/>
          <w:bCs w:val="0"/>
          <w:i w:val="0"/>
          <w:iCs w:val="0"/>
          <w:color w:val="000000"/>
          <w:sz w:val="22"/>
          <w:szCs w:val="22"/>
          <w:rtl w:val="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cs="Georgia" w:eastAsia="Georgia" w:hAnsi="Georgia"/>
          <w:b w:val="1"/>
          <w:bCs w:val="1"/>
          <w:strike w:val="0"/>
          <w:color w:val="000000"/>
          <w:sz w:val="22"/>
          <w:szCs w:val="22"/>
          <w:shd w:fill="bfbfbf" w:val="clear"/>
          <w:rtl w:val="0"/>
        </w:rPr>
        <w:t xml:space="preserve">mean values for sodium between male and female NZW rabbits were found to be statistically different (p&lt;0.05)</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D8">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cs="Georgia" w:eastAsia="Georgia" w:hAnsi="Georgia"/>
          <w:b w:val="0"/>
          <w:bCs w:val="0"/>
          <w:i w:val="0"/>
          <w:iCs w:val="0"/>
          <w:color w:val="000000"/>
          <w:sz w:val="22"/>
          <w:szCs w:val="22"/>
          <w:rtl w:val="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no significant association between clinical signs and heartworm infection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collectively contribute to the effective management and prevention of heartworm disease in the local canine population. Further research with larger sample sizes and diverse populations is </w:t>
      </w:r>
      <w:r>
        <w:rPr>
          <w:rFonts w:ascii="Georgia" w:cs="Georgia" w:eastAsia="Georgia" w:hAnsi="Georgia"/>
          <w:b w:val="1"/>
          <w:bCs w:val="1"/>
          <w:strike w:val="1"/>
          <w:color w:val="000000"/>
          <w:sz w:val="22"/>
          <w:szCs w:val="22"/>
          <w:rtl w:val="0"/>
        </w:rPr>
        <w:t xml:space="preserve">needed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validate these findings and enhance our understanding of heartworm infection in the study area.</w:t>
      </w:r>
      <w:r>
        <w:rPr>
          <w:rtl w:val="0"/>
        </w:rPr>
      </w:r>
    </w:p>
    <w:p w:rsidR="00000000" w:rsidDel="00000000" w:rsidP="00000000" w:rsidRDefault="00000000" w:rsidRPr="00000000" w14:paraId="000002DA">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cs="Georgia" w:eastAsia="Georgia" w:hAnsi="Georgia"/>
          <w:b w:val="0"/>
          <w:bCs w:val="0"/>
          <w:i w:val="0"/>
          <w:iCs w:val="0"/>
          <w:color w:val="000000"/>
          <w:sz w:val="22"/>
          <w:szCs w:val="22"/>
          <w:rtl w:val="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both plant extracts as natural anthelmintics, with tamarind showing superior efficacy. The study supports the development of plant-based alternatives for the sustainable control of fasciolosis in livestock.</w:t>
      </w:r>
      <w:r>
        <w:rPr>
          <w:rtl w:val="0"/>
        </w:rPr>
      </w:r>
    </w:p>
    <w:p w:rsidR="00000000" w:rsidDel="00000000" w:rsidP="00000000" w:rsidRDefault="00000000" w:rsidRPr="00000000" w14:paraId="000002D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cs="Georgia" w:eastAsia="Georgia" w:hAnsi="Georgia"/>
          <w:b w:val="0"/>
          <w:bCs w:val="0"/>
          <w:i w:val="0"/>
          <w:iCs w:val="0"/>
          <w:color w:val="000000"/>
          <w:sz w:val="22"/>
          <w:szCs w:val="22"/>
          <w:rtl w:val="0"/>
        </w:rPr>
        <w:t xml:space="preserve">Plastic pollution has been a long-standing environmental concern due to improper waste management. Its persistence in marine environments, particularly in the form of microplastics, posed potential (EC)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[R]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recommend (FP-Rec) removing the shrimp’s GIT during preparation to avoid ingestion, use fishing gear made from durable or natural materials, regularly maintain and replace worn equipment, and properly dispose of plastics instead of discarding them into water bodies.</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bfbfbf" w:val="clear"/>
          <w:rtl w:val="0"/>
        </w:rPr>
        <w:t xml:space="preserve"/>
      </w:r>
      <w:r>
        <w:rPr>
          <w:rFonts w:ascii="Georgia" w:cs="Georgia" w:eastAsia="Georgia" w:hAnsi="Georgia"/>
          <w:b w:val="1"/>
          <w:bCs w:val="1"/>
          <w:i w:val="0"/>
          <w:iCs w:val="0"/>
          <w:color w:val="00000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D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cs="Georgia" w:eastAsia="Georgia" w:hAnsi="Georgia"/>
          <w:b w:val="0"/>
          <w:bCs w:val="0"/>
          <w:i w:val="0"/>
          <w:iCs w:val="0"/>
          <w:color w:val="000000"/>
          <w:sz w:val="22"/>
          <w:szCs w:val="22"/>
          <w:rtl w:val="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cs="Georgia" w:eastAsia="Georgia" w:hAnsi="Georgia"/>
          <w:b w:val="1"/>
          <w:bCs w:val="1"/>
          <w:strike w:val="0"/>
          <w:color w:val="000000"/>
          <w:sz w:val="22"/>
          <w:szCs w:val="22"/>
          <w:shd w:fill="bfbfbf" w:val="clear"/>
          <w:rtl w:val="0"/>
        </w:rPr>
        <w:t xml:space="preserve">In general, lung samples were sensitive to all antibiotics except amoxicillin-clavulanic acid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cs="Georgia" w:eastAsia="Georgia" w:hAnsi="Georgia"/>
          <w:b w:val="1"/>
          <w:bCs w:val="1"/>
          <w:strike w:val="0"/>
          <w:color w:val="000000"/>
          <w:sz w:val="22"/>
          <w:szCs w:val="22"/>
          <w:shd w:fill="bfbfbf" w:val="clear"/>
          <w:rtl w:val="0"/>
        </w:rPr>
        <w:t xml:space="preserve">the data showed that lung and chick samples exhibited marked resistance</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Pr>
          <w:rtl w:val="0"/>
        </w:rPr>
      </w:r>
    </w:p>
    <w:p w:rsidR="00000000" w:rsidDel="00000000" w:rsidP="00000000" w:rsidRDefault="00000000" w:rsidRPr="00000000" w14:paraId="000002E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cs="Georgia" w:eastAsia="Georgia" w:hAnsi="Georgia"/>
          <w:b w:val="1"/>
          <w:bCs w:val="1"/>
          <w:strike w:val="1"/>
          <w:color w:val="000000"/>
          <w:sz w:val="22"/>
          <w:szCs w:val="22"/>
          <w:rtl w:val="0"/>
        </w:rPr>
        <w:t xml:space="preserve">possibility</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Pr>
          <w:rtl w:val="0"/>
        </w:rPr>
      </w:r>
    </w:p>
    <w:p w:rsidR="00000000" w:rsidDel="00000000" w:rsidP="00000000" w:rsidRDefault="00000000" w:rsidRPr="00000000" w14:paraId="000002E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cs="Georgia" w:eastAsia="Georgia" w:hAnsi="Georgia"/>
          <w:b w:val="0"/>
          <w:bCs w:val="0"/>
          <w:i w:val="0"/>
          <w:iCs w:val="0"/>
          <w:color w:val="000000"/>
          <w:sz w:val="22"/>
          <w:szCs w:val="22"/>
          <w:rtl w:val="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effective in preventing, controlling, and managing the spread of ASF, but it is not conclusive that ASF is not present in the municipality of [REDACTED]. Nevertheless,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Pr>
          <w:rtl w:val="0"/>
        </w:rPr>
      </w:r>
    </w:p>
    <w:p w:rsidR="00000000" w:rsidDel="00000000" w:rsidP="00000000" w:rsidRDefault="00000000" w:rsidRPr="00000000" w14:paraId="000002E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cs="Georgia" w:eastAsia="Georgia" w:hAnsi="Georgia"/>
          <w:b w:val="0"/>
          <w:bCs w:val="0"/>
          <w:i w:val="0"/>
          <w:iCs w:val="0"/>
          <w:color w:val="000000"/>
          <w:sz w:val="22"/>
          <w:szCs w:val="22"/>
          <w:rtl w:val="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w:t>
      </w:r>
      <w:r>
        <w:rPr>
          <w:rFonts w:ascii="Georgia" w:cs="Georgia" w:eastAsia="Georgia" w:hAnsi="Georgia"/>
          <w:b w:val="1"/>
          <w:bCs w:val="1"/>
          <w:strike w:val="0"/>
          <w:color w:val="000000"/>
          <w:sz w:val="22"/>
          <w:szCs w:val="22"/>
          <w:shd w:fill="bfbfbf" w:val="clear"/>
          <w:rtl w:val="0"/>
        </w:rPr>
        <w:t xml:space="preserve">the differences between the groups were statistically significant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There were variations in the mean antibody titer measured among samples.</w:t>
      </w:r>
      <w:r>
        <w:rPr>
          <w:rtl w:val="0"/>
        </w:rPr>
      </w:r>
    </w:p>
    <w:p w:rsidR="00000000" w:rsidDel="00000000" w:rsidP="00000000" w:rsidRDefault="00000000" w:rsidRPr="00000000" w14:paraId="000002E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cs="Georgia" w:eastAsia="Georgia" w:hAnsi="Georgia"/>
          <w:b w:val="0"/>
          <w:bCs w:val="0"/>
          <w:i w:val="0"/>
          <w:iCs w:val="0"/>
          <w:color w:val="000000"/>
          <w:sz w:val="22"/>
          <w:szCs w:val="22"/>
          <w:rtl w:val="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cs="Georgia" w:eastAsia="Georgia" w:hAnsi="Georgia"/>
          <w:b w:val="1"/>
          <w:bCs w:val="1"/>
          <w:strike w:val="1"/>
          <w:color w:val="000000"/>
          <w:sz w:val="22"/>
          <w:szCs w:val="22"/>
          <w:rtl w:val="0"/>
        </w:rPr>
        <w:t xml:space="preserve">indicated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r>
        <w:rPr>
          <w:rtl w:val="0"/>
        </w:rPr>
      </w:r>
    </w:p>
    <w:p w:rsidR="00000000" w:rsidDel="00000000" w:rsidP="00000000" w:rsidRDefault="00000000" w:rsidRPr="00000000" w14:paraId="000002E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cs="Georgia" w:eastAsia="Georgia" w:hAnsi="Georgia"/>
          <w:b w:val="0"/>
          <w:bCs w:val="0"/>
          <w:i w:val="0"/>
          <w:iCs w:val="0"/>
          <w:color w:val="000000"/>
          <w:sz w:val="22"/>
          <w:szCs w:val="22"/>
          <w:rtl w:val="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cs="Georgia" w:eastAsia="Georgia" w:hAnsi="Georgia"/>
          <w:b w:val="1"/>
          <w:bCs w:val="1"/>
          <w:strike w:val="1"/>
          <w:color w:val="000000"/>
          <w:sz w:val="22"/>
          <w:szCs w:val="22"/>
          <w:rtl w:val="0"/>
        </w:rPr>
        <w:t xml:space="preserve">potential</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Pr>
          <w:rtl w:val="0"/>
        </w:rPr>
      </w:r>
    </w:p>
    <w:p w:rsidR="00000000" w:rsidDel="00000000" w:rsidP="00000000" w:rsidRDefault="00000000" w:rsidRPr="00000000" w14:paraId="000002E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cs="Georgia" w:eastAsia="Georgia" w:hAnsi="Georgia"/>
          <w:b w:val="0"/>
          <w:bCs w:val="0"/>
          <w:i w:val="0"/>
          <w:iCs w:val="0"/>
          <w:color w:val="000000"/>
          <w:sz w:val="22"/>
          <w:szCs w:val="22"/>
          <w:rtl w:val="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cs="Georgia" w:eastAsia="Georgia" w:hAnsi="Georgia"/>
          <w:b w:val="1"/>
          <w:bCs w:val="1"/>
          <w:strike w:val="0"/>
          <w:color w:val="000000"/>
          <w:sz w:val="22"/>
          <w:szCs w:val="22"/>
          <w:shd w:fill="bfbfbf" w:val="clear"/>
          <w:rtl w:val="0"/>
        </w:rPr>
        <w:t xml:space="preserve">Results revealed that Treatment 3, with 40% concentration of Noni had the highest zone of inhibition in vitro with comparable antibacterial activity as the positive control against S. aureus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cs="Georgia" w:eastAsia="Georgia" w:hAnsi="Georgia"/>
          <w:b w:val="1"/>
          <w:bCs w:val="1"/>
          <w:strike w:val="0"/>
          <w:color w:val="000000"/>
          <w:sz w:val="22"/>
          <w:szCs w:val="22"/>
          <w:shd w:fill="bfbfbf" w:val="clear"/>
          <w:rtl w:val="0"/>
        </w:rPr>
        <w:t xml:space="preserve">Noni fruit ethanolic extract with 40% concentration has antibacterial property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2E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cs="Georgia" w:eastAsia="Georgia" w:hAnsi="Georgia"/>
          <w:b w:val="0"/>
          <w:bCs w:val="0"/>
          <w:i w:val="0"/>
          <w:iCs w:val="0"/>
          <w:color w:val="000000"/>
          <w:sz w:val="22"/>
          <w:szCs w:val="22"/>
          <w:rtl w:val="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of butterfly pea flower aqueous extract in improving the survival of zebrafish at its larval stage.</w:t>
      </w:r>
      <w:r>
        <w:rPr>
          <w:rtl w:val="0"/>
        </w:rPr>
      </w:r>
    </w:p>
    <w:p w:rsidR="00000000" w:rsidDel="00000000" w:rsidP="00000000" w:rsidRDefault="00000000" w:rsidRPr="00000000" w14:paraId="000002EF">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cs="Georgia" w:eastAsia="Georgia" w:hAnsi="Georgia"/>
          <w:b w:val="0"/>
          <w:bCs w:val="0"/>
          <w:i w:val="0"/>
          <w:iCs w:val="0"/>
          <w:color w:val="000000"/>
          <w:sz w:val="22"/>
          <w:szCs w:val="22"/>
          <w:rtl w:val="0"/>
        </w:rPr>
        <w:t xml:space="preserve">Zoonotic diseases are a significant public health concern, particularly those that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cs="Georgia" w:eastAsia="Georgia" w:hAnsi="Georgia"/>
          <w:b w:val="1"/>
          <w:bCs w:val="1"/>
          <w:strike w:val="0"/>
          <w:color w:val="000000"/>
          <w:sz w:val="22"/>
          <w:szCs w:val="22"/>
          <w:shd w:fill="bfbfbf" w:val="clear"/>
          <w:rtl w:val="0"/>
        </w:rPr>
        <w:t xml:space="preserve">Participants exhibited an overall moderate level of awareness (mean=3.30) on canine zoonotic diseases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cs="Georgia" w:eastAsia="Georgia" w:hAnsi="Georgia"/>
          <w:b w:val="1"/>
          <w:bCs w:val="1"/>
          <w:strike w:val="0"/>
          <w:color w:val="000000"/>
          <w:sz w:val="22"/>
          <w:szCs w:val="22"/>
          <w:shd w:fill="bfbfbf" w:val="clear"/>
          <w:rtl w:val="0"/>
        </w:rPr>
        <w:t xml:space="preserve">significant associations (p&lt;0.05) were found between awareness on zoonotic diseases and sociodemographic factors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such as educational attainment (p-value=0.000), monthly income (p-value=0.007), and years of dog ownership (p-value=0.001).</w:t>
      </w:r>
      <w:r>
        <w:rPr>
          <w:rtl w:val="0"/>
        </w:rPr>
      </w:r>
    </w:p>
    <w:p w:rsidR="00000000" w:rsidDel="00000000" w:rsidP="00000000" w:rsidRDefault="00000000" w:rsidRPr="00000000" w14:paraId="000002F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cs="Georgia" w:eastAsia="Georgia" w:hAnsi="Georgia"/>
          <w:b w:val="0"/>
          <w:bCs w:val="0"/>
          <w:i w:val="0"/>
          <w:iCs w:val="0"/>
          <w:color w:val="000000"/>
          <w:sz w:val="22"/>
          <w:szCs w:val="22"/>
          <w:rtl w:val="0"/>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Pr>
          <w:rtl w:val="0"/>
        </w:rPr>
      </w:r>
    </w:p>
    <w:p w:rsidR="00000000" w:rsidDel="00000000" w:rsidP="00000000" w:rsidRDefault="00000000" w:rsidRPr="00000000" w14:paraId="000002F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cs="Georgia" w:eastAsia="Georgia" w:hAnsi="Georgia"/>
          <w:b w:val="0"/>
          <w:bCs w:val="0"/>
          <w:i w:val="0"/>
          <w:iCs w:val="0"/>
          <w:color w:val="000000"/>
          <w:sz w:val="22"/>
          <w:szCs w:val="22"/>
          <w:rtl w:val="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cs="Georgia" w:eastAsia="Georgia" w:hAnsi="Georgia"/>
          <w:b w:val="1"/>
          <w:bCs w:val="1"/>
          <w:strike w:val="0"/>
          <w:color w:val="000000"/>
          <w:sz w:val="22"/>
          <w:szCs w:val="22"/>
          <w:shd w:fill="bfbfbf" w:val="clear"/>
          <w:rtl w:val="0"/>
        </w:rPr>
        <w:t xml:space="preserve">The results indicated that most respondents demonstrated high knowledge about rabies (69.3%), particularly regarding transmission and prevention</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cs="Georgia" w:eastAsia="Georgia" w:hAnsi="Georgia"/>
          <w:b w:val="1"/>
          <w:bCs w:val="1"/>
          <w:strike w:val="0"/>
          <w:color w:val="000000"/>
          <w:sz w:val="22"/>
          <w:szCs w:val="22"/>
          <w:shd w:fill="bfbfbf" w:val="clear"/>
          <w:rtl w:val="0"/>
        </w:rPr>
        <w:t xml:space="preserve">Multiple linear regression analysis confirmed interrelationships among KAP dimensions, revealing that higher knowledge scores significantly predicted better preventive behaviors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mitigate rabies transmission risks. These insights align with broader efforts toward rabies elimination in the Philippines by 2030, emphasizing the importance of addressing localized KAP gaps through evidence-based interventions.</w:t>
      </w:r>
      <w:r>
        <w:rPr>
          <w:rtl w:val="0"/>
        </w:rPr>
      </w:r>
    </w:p>
    <w:p w:rsidR="00000000" w:rsidDel="00000000" w:rsidP="00000000" w:rsidRDefault="00000000" w:rsidRPr="00000000" w14:paraId="000002F7">
      <w:pPr>
        <w:spacing w:before="0" w:after="0" w:line="480" w:lineRule="auto"/>
        <w:jc w:val="center"/>
        <w:rPr/>
      </w:pPr>
      <w:r>
        <w:rPr>
          <w:rFonts w:ascii="Georgia" w:cs="Georgia" w:eastAsia="Georgia" w:hAnsi="Georgia"/>
          <w:b w:val="1"/>
          <w:bCs w:val="1"/>
          <w:i w:val="0"/>
          <w:iCs w:val="0"/>
          <w:sz w:val="24"/>
          <w:szCs w:val="24"/>
          <w:rtl w:val="0"/>
        </w:rPr>
        <w:t xml:space="preserve">Agriculture, Crop Science (Acs1–Acs10)</w:t>
      </w:r>
      <w:r>
        <w:rPr>
          <w:rtl w:val="0"/>
        </w:rPr>
      </w:r>
    </w:p>
    <w:p w:rsidR="00000000" w:rsidDel="00000000" w:rsidP="00000000" w:rsidRDefault="00000000" w:rsidRPr="00000000" w14:paraId="000002F8">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cs="Georgia" w:eastAsia="Georgia" w:hAnsi="Georgia"/>
          <w:b w:val="0"/>
          <w:bCs w:val="0"/>
          <w:i w:val="0"/>
          <w:iCs w:val="0"/>
          <w:color w:val="000000"/>
          <w:sz w:val="22"/>
          <w:szCs w:val="22"/>
          <w:rtl w:val="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banana peel, when applied at an optimal rate in combination with reduced synthetic fertilizer input,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significantly enhance the growth and yield performance of finger pepper, offering a sustainable alternative for crop production.</w:t>
      </w:r>
      <w:r>
        <w:rPr>
          <w:rtl w:val="0"/>
        </w:rPr>
      </w:r>
    </w:p>
    <w:p w:rsidR="00000000" w:rsidDel="00000000" w:rsidP="00000000" w:rsidRDefault="00000000" w:rsidRPr="00000000" w14:paraId="000002FA">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cs="Georgia" w:eastAsia="Georgia" w:hAnsi="Georgia"/>
          <w:b w:val="0"/>
          <w:bCs w:val="0"/>
          <w:i w:val="0"/>
          <w:iCs w:val="0"/>
          <w:color w:val="000000"/>
          <w:sz w:val="22"/>
          <w:szCs w:val="22"/>
          <w:rtl w:val="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statistical significance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observed, the mycorrhiza treatment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still offer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while the differences </w:t>
      </w:r>
      <w:r>
        <w:rPr>
          <w:rFonts w:ascii="Georgia" w:cs="Georgia" w:eastAsia="Georgia" w:hAnsi="Georgia"/>
          <w:b w:val="1"/>
          <w:bCs w:val="1"/>
          <w:strike w:val="0"/>
          <w:color w:val="000000"/>
          <w:sz w:val="22"/>
          <w:szCs w:val="22"/>
          <w:shd w:fill="00b0f0" w:val="clear"/>
          <w:rtl w:val="0"/>
        </w:rPr>
        <w:t xml:space="preserve">might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have been significant in the study, the researchers believe that mycorrhiza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provide beneficial effects in practical agricultural contexts. The study concluded that the application of mycorrhiza positive impact on mung beans during drought and root development highlights its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benefits for plant growth. Further research </w:t>
      </w:r>
      <w:r>
        <w:rPr>
          <w:rFonts w:ascii="Georgia" w:cs="Georgia" w:eastAsia="Georgia" w:hAnsi="Georgia"/>
          <w:b w:val="1"/>
          <w:bCs w:val="1"/>
          <w:strike w:val="1"/>
          <w:color w:val="000000"/>
          <w:sz w:val="22"/>
          <w:szCs w:val="22"/>
          <w:rtl w:val="0"/>
        </w:rPr>
        <w:t xml:space="preserve">could</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unveil additional insights and applications for optimizing plant health.</w:t>
      </w:r>
      <w:r>
        <w:rPr>
          <w:rtl w:val="0"/>
        </w:rPr>
      </w:r>
    </w:p>
    <w:p w:rsidR="00000000" w:rsidDel="00000000" w:rsidP="00000000" w:rsidRDefault="00000000" w:rsidRPr="00000000" w14:paraId="000002FC">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survive the water treatment application but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not establish roots and die after several days. However,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derived that the application of different alternative rooting hormones has a comparable effect with synthetic rooting hormones based on the growth parameters.</w:t>
      </w:r>
      <w:r>
        <w:rPr>
          <w:rtl w:val="0"/>
        </w:rPr>
      </w:r>
    </w:p>
    <w:p w:rsidR="00000000" w:rsidDel="00000000" w:rsidP="00000000" w:rsidRDefault="00000000" w:rsidRPr="00000000" w14:paraId="000002F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application of seaweed extract as a bio stimulant did not significantly enhance the growth and yield of sweet potato. However, the negative control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reduce production cost and provide the highest return on investment.</w:t>
      </w:r>
      <w:r>
        <w:rPr>
          <w:rtl w:val="0"/>
        </w:rPr>
      </w:r>
    </w:p>
    <w:p w:rsidR="00000000" w:rsidDel="00000000" w:rsidP="00000000" w:rsidRDefault="00000000" w:rsidRPr="00000000" w14:paraId="00000301">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Trichoderma and fermented azolla at proper application frequencies </w:t>
      </w:r>
      <w:r>
        <w:rPr>
          <w:rFonts w:ascii="Georgia" w:cs="Georgia" w:eastAsia="Georgia" w:hAnsi="Georgia"/>
          <w:b w:val="1"/>
          <w:bCs w:val="1"/>
          <w:strike w:val="0"/>
          <w:color w:val="000000"/>
          <w:sz w:val="22"/>
          <w:szCs w:val="22"/>
          <w:shd w:fill="00b0f0" w:val="clear"/>
          <w:rtl w:val="0"/>
        </w:rPr>
        <w:t xml:space="preserve">could</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beneficial in enhancing cultivation, promoting both plant growth and economic returns.</w:t>
      </w:r>
      <w:r>
        <w:rPr>
          <w:rtl w:val="0"/>
        </w:rPr>
      </w:r>
    </w:p>
    <w:p w:rsidR="00000000" w:rsidDel="00000000" w:rsidP="00000000" w:rsidRDefault="00000000" w:rsidRPr="00000000" w14:paraId="00000303">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the use of rice hull and vermicompost significantly enhanced the growth and survival of Adansonii. These findings highlight their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effective, low-cost, and sustainable soil amendments for ornamental and horticultural cultivation, offering practical options for growers seeking eco-friendly methods to improve plant performance.</w:t>
      </w:r>
      <w:r>
        <w:rPr>
          <w:rtl w:val="0"/>
        </w:rPr>
      </w:r>
    </w:p>
    <w:p w:rsidR="00000000" w:rsidDel="00000000" w:rsidP="00000000" w:rsidRDefault="00000000" w:rsidRPr="00000000" w14:paraId="00000305">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attributed to the nutrient-rich content of GB 1000+ FF, which enhances soil conditions and facilitates better nutrient availability. In GB 1000+ FF contributed to vigorous vegetative growth and ultimately led to taller eggplant plants.</w:t>
      </w:r>
      <w:r>
        <w:rPr>
          <w:rtl w:val="0"/>
        </w:rPr>
      </w:r>
    </w:p>
    <w:p w:rsidR="00000000" w:rsidDel="00000000" w:rsidP="00000000" w:rsidRDefault="00000000" w:rsidRPr="00000000" w14:paraId="00000307">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cs="Georgia" w:eastAsia="Georgia" w:hAnsi="Georgia"/>
          <w:b w:val="0"/>
          <w:bCs w:val="0"/>
          <w:i w:val="0"/>
          <w:iCs w:val="0"/>
          <w:color w:val="000000"/>
          <w:sz w:val="22"/>
          <w:szCs w:val="22"/>
          <w:rtl w:val="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cs="Georgia" w:eastAsia="Georgia" w:hAnsi="Georgia"/>
          <w:b w:val="1"/>
          <w:bCs w:val="1"/>
          <w:strike w:val="0"/>
          <w:color w:val="000000"/>
          <w:sz w:val="22"/>
          <w:szCs w:val="22"/>
          <w:shd w:fill="bfbfbf" w:val="clear"/>
          <w:rtl w:val="0"/>
        </w:rPr>
        <w:t xml:space="preserve">there was no significant difference among the different methods of kuhol amino acid app in terms of plant height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weight of marketable and weight of non-marketable fruit, number of marketable and non-marketable fruits, and computed yield. </w:t>
      </w:r>
      <w:r>
        <w:rPr>
          <w:rFonts w:ascii="Georgia" w:cs="Georgia" w:eastAsia="Georgia" w:hAnsi="Georgia"/>
          <w:b w:val="1"/>
          <w:bCs w:val="1"/>
          <w:strike w:val="0"/>
          <w:color w:val="000000"/>
          <w:sz w:val="22"/>
          <w:szCs w:val="22"/>
          <w:shd w:fill="bfbfbf" w:val="clear"/>
          <w:rtl w:val="0"/>
        </w:rPr>
        <w:t xml:space="preserve">Different methods of kuhol amino acid application influenced the plant height, weight of fruits, number of marketable and non-marketable fruits, and computed yield</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researcher </w:t>
      </w:r>
      <w:r>
        <w:rPr>
          <w:rFonts w:ascii="Georgia" w:cs="Georgia" w:eastAsia="Georgia" w:hAnsi="Georgia"/>
          <w:b w:val="1"/>
          <w:bCs w:val="1"/>
          <w:strike w:val="1"/>
          <w:color w:val="000000"/>
          <w:sz w:val="22"/>
          <w:szCs w:val="22"/>
          <w:rtl w:val="0"/>
        </w:rPr>
        <w:t xml:space="preserve">recommends</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foliar and drenching application of kuhol amino acid. because, numerically, it consistently produced the highest yield performance.</w:t>
      </w:r>
      <w:r>
        <w:rPr>
          <w:rtl w:val="0"/>
        </w:rPr>
      </w:r>
    </w:p>
    <w:p w:rsidR="00000000" w:rsidDel="00000000" w:rsidP="00000000" w:rsidRDefault="00000000" w:rsidRPr="00000000" w14:paraId="0000030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cs="Georgia" w:eastAsia="Georgia" w:hAnsi="Georgia"/>
          <w:b w:val="0"/>
          <w:bCs w:val="0"/>
          <w:i w:val="0"/>
          <w:iCs w:val="0"/>
          <w:color w:val="000000"/>
          <w:sz w:val="22"/>
          <w:szCs w:val="22"/>
          <w:rtl w:val="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cs="Georgia" w:eastAsia="Georgia" w:hAnsi="Georgia"/>
          <w:b w:val="1"/>
          <w:bCs w:val="1"/>
          <w:strike w:val="0"/>
          <w:color w:val="ffffff"/>
          <w:sz w:val="22"/>
          <w:szCs w:val="22"/>
          <w:highlight w:val="red"/>
          <w:rtl w:val="0"/>
        </w:rPr>
        <w:t xml:space="preserve">suggest</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soaking sugarcane setts in Azospirillum spp. biofertilizer for 24 hours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effectively promote early growth by enhancing root development and biomass accumulation, thereby supporting improved propagation success.</w:t>
      </w:r>
      <w:r>
        <w:rPr>
          <w:rtl w:val="0"/>
        </w:rPr>
      </w:r>
    </w:p>
    <w:p w:rsidR="00000000" w:rsidDel="00000000" w:rsidP="00000000" w:rsidRDefault="00000000" w:rsidRPr="00000000" w14:paraId="0000030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cs="Georgia" w:eastAsia="Georgia" w:hAnsi="Georgia"/>
          <w:b w:val="0"/>
          <w:bCs w:val="0"/>
          <w:i w:val="0"/>
          <w:iCs w:val="0"/>
          <w:color w:val="000000"/>
          <w:sz w:val="22"/>
          <w:szCs w:val="22"/>
          <w:rtl w:val="0"/>
        </w:rPr>
        <w:t xml:space="preserve">The field study 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cs="Georgia" w:eastAsia="Georgia" w:hAnsi="Georgia"/>
          <w:b w:val="1"/>
          <w:bCs w:val="1"/>
          <w:strike w:val="0"/>
          <w:color w:val="000000"/>
          <w:sz w:val="22"/>
          <w:szCs w:val="22"/>
          <w:shd w:fill="bfbfbf" w:val="clear"/>
          <w:rtl w:val="0"/>
        </w:rPr>
        <w:t xml:space="preserve">a significant difference was observed in the number of productive tillers, actual yield per sample area, and computed yield per ton/ha</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T3: NPK+14-14-14 was the most compelling treatment among all treatments in terms of producing the highest number of productive tillers and obtaining the heaviest yield per ton/ha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Pr>
          <w:rtl w:val="0"/>
        </w:rPr>
      </w:r>
    </w:p>
    <w:p w:rsidR="00000000" w:rsidDel="00000000" w:rsidP="00000000" w:rsidRDefault="00000000" w:rsidRPr="00000000" w14:paraId="0000030D">
      <w:pPr>
        <w:spacing w:before="0" w:after="0" w:line="480" w:lineRule="auto"/>
        <w:jc w:val="center"/>
        <w:rPr/>
      </w:pPr>
      <w:r>
        <w:rPr>
          <w:rFonts w:ascii="Georgia" w:cs="Georgia" w:eastAsia="Georgia" w:hAnsi="Georgia"/>
          <w:b w:val="1"/>
          <w:bCs w:val="1"/>
          <w:i w:val="0"/>
          <w:iCs w:val="0"/>
          <w:sz w:val="24"/>
          <w:szCs w:val="24"/>
          <w:rtl w:val="0"/>
        </w:rPr>
        <w:t xml:space="preserve">Agriculture, Animal Science (Aas1–Aas10)</w:t>
      </w:r>
      <w:r>
        <w:rPr>
          <w:rtl w:val="0"/>
        </w:rPr>
      </w:r>
    </w:p>
    <w:p w:rsidR="00000000" w:rsidDel="00000000" w:rsidP="00000000" w:rsidRDefault="00000000" w:rsidRPr="00000000" w14:paraId="0000030E">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cs="Georgia" w:eastAsia="Georgia" w:hAnsi="Georgia"/>
          <w:b w:val="0"/>
          <w:bCs w:val="0"/>
          <w:i w:val="0"/>
          <w:iCs w:val="0"/>
          <w:color w:val="000000"/>
          <w:sz w:val="22"/>
          <w:szCs w:val="22"/>
          <w:rtl w:val="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cs="Georgia" w:eastAsia="Georgia" w:hAnsi="Georgia"/>
          <w:b w:val="1"/>
          <w:bCs w:val="1"/>
          <w:strike w:val="0"/>
          <w:color w:val="000000"/>
          <w:sz w:val="22"/>
          <w:szCs w:val="22"/>
          <w:shd w:fill="bfbfbf" w:val="clear"/>
          <w:rtl w:val="0"/>
        </w:rPr>
        <w:t xml:space="preserve">No significant differences were observed in terms of mean initial weight (kg), mean final weight (kg)</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mean gain in weight (kg), mean DM intake (kg), or feed conversion ratio. </w:t>
      </w:r>
      <w:r>
        <w:rPr>
          <w:rFonts w:ascii="Georgia" w:cs="Georgia" w:eastAsia="Georgia" w:hAnsi="Georgia"/>
          <w:b w:val="1"/>
          <w:bCs w:val="1"/>
          <w:strike w:val="0"/>
          <w:color w:val="000000"/>
          <w:sz w:val="22"/>
          <w:szCs w:val="22"/>
          <w:shd w:fill="bfbfbf" w:val="clear"/>
          <w:rtl w:val="0"/>
        </w:rPr>
        <w:t xml:space="preserve">The student researcher concluded that T2 (20% GA Leaves + 40% Paragrass + 40% Concentrate Feeds) was the most compelling treatment among all treatments for the rabbits in terms of outperforming the data numerically</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20% Gmelina arborea + 40% Para grass + 40% Concentrate Feeds greatly contributed to performances in terms of obtaining the highest mean final weight, mean gain in weight, and highest net income.</w:t>
      </w:r>
      <w:r>
        <w:rPr>
          <w:rtl w:val="0"/>
        </w:rPr>
      </w:r>
    </w:p>
    <w:p w:rsidR="00000000" w:rsidDel="00000000" w:rsidP="00000000" w:rsidRDefault="00000000" w:rsidRPr="00000000" w14:paraId="0000031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cs="Georgia" w:eastAsia="Georgia" w:hAnsi="Georgia"/>
          <w:b w:val="0"/>
          <w:bCs w:val="0"/>
          <w:i w:val="0"/>
          <w:iCs w:val="0"/>
          <w:color w:val="000000"/>
          <w:sz w:val="22"/>
          <w:szCs w:val="22"/>
          <w:rtl w:val="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cs="Georgia" w:eastAsia="Georgia" w:hAnsi="Georgia"/>
          <w:b w:val="1"/>
          <w:bCs w:val="1"/>
          <w:strike w:val="0"/>
          <w:color w:val="000000"/>
          <w:sz w:val="22"/>
          <w:szCs w:val="22"/>
          <w:shd w:fill="bfbfbf" w:val="clear"/>
          <w:rtl w:val="0"/>
        </w:rPr>
        <w:t xml:space="preserve">the fermented okara extract had the biggest impact, resulting in the heaviest weight</w:t>
      </w:r>
      <w:r>
        <w:rPr>
          <w:rFonts w:ascii="Georgia" w:cs="Georgia" w:eastAsia="Georgia" w:hAnsi="Georgia"/>
          <w:b w:val="1"/>
          <w:bCs w:val="1"/>
          <w:i w:val="0"/>
          <w:iCs w:val="0"/>
          <w:color w:val="000000"/>
          <w:sz w:val="20"/>
          <w:szCs w:val="20"/>
          <w:rtl w:val="0"/>
        </w:rPr>
        <w:t xml:space="preserve"> [C]</w:t>
      </w:r>
      <w:r>
        <w:rPr>
          <w:rFonts w:ascii="Georgia" w:cs="Georgia" w:eastAsia="Georgia" w:hAnsi="Georgia"/>
          <w:b w:val="0"/>
          <w:bCs w:val="0"/>
          <w:i w:val="0"/>
          <w:iCs w:val="0"/>
          <w:color w:val="000000"/>
          <w:sz w:val="22"/>
          <w:szCs w:val="22"/>
          <w:rtl w:val="0"/>
        </w:rPr>
        <w:t xml:space="preserve">. Additionally, </w:t>
      </w:r>
      <w:r>
        <w:rPr>
          <w:rFonts w:ascii="Georgia" w:cs="Georgia" w:eastAsia="Georgia" w:hAnsi="Georgia"/>
          <w:b w:val="1"/>
          <w:bCs w:val="1"/>
          <w:strike w:val="0"/>
          <w:color w:val="000000"/>
          <w:sz w:val="22"/>
          <w:szCs w:val="22"/>
          <w:shd w:fill="bfbfbf" w:val="clear"/>
          <w:rtl w:val="0"/>
        </w:rPr>
        <w:t xml:space="preserve">the total return result showed a promising future for fermented okara extract at a level of 60 ml (166.00 PHP)</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w:t>
      </w:r>
      <w:r>
        <w:rPr>
          <w:rtl w:val="0"/>
        </w:rPr>
      </w:r>
    </w:p>
    <w:p w:rsidR="00000000" w:rsidDel="00000000" w:rsidP="00000000" w:rsidRDefault="00000000" w:rsidRPr="00000000" w14:paraId="0000031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cs="Georgia" w:eastAsia="Georgia" w:hAnsi="Georgia"/>
          <w:b w:val="0"/>
          <w:bCs w:val="0"/>
          <w:i w:val="0"/>
          <w:iCs w:val="0"/>
          <w:color w:val="000000"/>
          <w:sz w:val="22"/>
          <w:szCs w:val="22"/>
          <w:rtl w:val="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cs="Georgia" w:eastAsia="Georgia" w:hAnsi="Georgia"/>
          <w:b w:val="1"/>
          <w:bCs w:val="1"/>
          <w:strike w:val="0"/>
          <w:color w:val="ffffff"/>
          <w:sz w:val="22"/>
          <w:szCs w:val="22"/>
          <w:highlight w:val="red"/>
          <w:rtl w:val="0"/>
        </w:rPr>
        <w:t xml:space="preserve">implies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also be concluded that D1 rice bran mixed with water spinach and with golden apple snail used in the study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minimize the cost of production, specifically the feed cost.</w:t>
      </w:r>
      <w:r>
        <w:rPr>
          <w:rtl w:val="0"/>
        </w:rPr>
      </w:r>
    </w:p>
    <w:p w:rsidR="00000000" w:rsidDel="00000000" w:rsidP="00000000" w:rsidRDefault="00000000" w:rsidRPr="00000000" w14:paraId="00000314">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cs="Georgia" w:eastAsia="Georgia" w:hAnsi="Georgia"/>
          <w:b w:val="1"/>
          <w:bCs w:val="1"/>
          <w:strike w:val="0"/>
          <w:color w:val="ffffff"/>
          <w:sz w:val="22"/>
          <w:szCs w:val="22"/>
          <w:highlight w:val="red"/>
          <w:rtl w:val="0"/>
        </w:rPr>
        <w:t xml:space="preserve">suggests</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there is no significant difference among the treatments with regard to their initial weight, gain in weight, average daily gain, and feed conversion ratio of the experimental rabbits.</w:t>
      </w:r>
      <w:r>
        <w:rPr>
          <w:rtl w:val="0"/>
        </w:rPr>
      </w:r>
    </w:p>
    <w:p w:rsidR="00000000" w:rsidDel="00000000" w:rsidP="00000000" w:rsidRDefault="00000000" w:rsidRPr="00000000" w14:paraId="00000316">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cs="Georgia" w:eastAsia="Georgia" w:hAnsi="Georgia"/>
          <w:b w:val="0"/>
          <w:bCs w:val="0"/>
          <w:i w:val="0"/>
          <w:iCs w:val="0"/>
          <w:color w:val="000000"/>
          <w:sz w:val="22"/>
          <w:szCs w:val="22"/>
          <w:rtl w:val="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will (FP-Gen) drive animal production systems to find new sources of high-quality and sustainable protein feed raw materials. Fortunately, insect farming can (EC) be seen as a potential (EC)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shd w:fill="00b0f0" w:val="clear"/>
          <w:rtl w:val="0"/>
        </w:rPr>
        <w:t xml:space="preserve"/>
      </w:r>
      <w:r>
        <w:rPr>
          <w:rFonts w:ascii="Georgia" w:cs="Georgia" w:eastAsia="Georgia" w:hAnsi="Georgia"/>
          <w:b w:val="1"/>
          <w:bCs w:val="1"/>
          <w:i w:val="0"/>
          <w:iCs w:val="0"/>
          <w:color w:val="ed7d31"/>
          <w:sz w:val="20"/>
          <w:szCs w:val="20"/>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808080"/>
          <w:sz w:val="20"/>
          <w:szCs w:val="20"/>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319">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cs="Georgia" w:eastAsia="Georgia" w:hAnsi="Georgia"/>
          <w:b w:val="0"/>
          <w:bCs w:val="0"/>
          <w:i w:val="0"/>
          <w:iCs w:val="0"/>
          <w:color w:val="000000"/>
          <w:sz w:val="22"/>
          <w:szCs w:val="22"/>
          <w:rtl w:val="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cs="Georgia" w:eastAsia="Georgia" w:hAnsi="Georgia"/>
          <w:b w:val="1"/>
          <w:bCs w:val="1"/>
          <w:strike w:val="0"/>
          <w:color w:val="000000"/>
          <w:sz w:val="22"/>
          <w:szCs w:val="22"/>
          <w:shd w:fill="bfbfbf" w:val="clear"/>
          <w:rtl w:val="0"/>
        </w:rPr>
        <w:t xml:space="preserve">It was found to have a significant effect on the growth and germination rate of pigeon pea in terms of days to germinate, plant height, a number of leaves, and length of leaves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strike w:val="0"/>
          <w:color w:val="000000"/>
          <w:sz w:val="22"/>
          <w:szCs w:val="22"/>
          <w:shd w:fill="bfbfbf" w:val="clear"/>
          <w:rtl w:val="0"/>
        </w:rPr>
        <w:t xml:space="preserve">Sulfuric was second in terms of the scarification method effectiveness for pigeon pea</w:t>
      </w:r>
      <w:r>
        <w:rPr>
          <w:rFonts w:ascii="Georgia" w:cs="Georgia" w:eastAsia="Georgia" w:hAnsi="Georgia"/>
          <w:b w:val="1"/>
          <w:bCs w:val="1"/>
          <w:i w:val="0"/>
          <w:iCs w:val="0"/>
          <w:color w:val="000000"/>
          <w:sz w:val="20"/>
          <w:szCs w:val="20"/>
          <w:rtl w:val="0"/>
        </w:rPr>
        <w:t xml:space="preserve"> [G]</w:t>
      </w:r>
      <w:r>
        <w:rPr>
          <w:rFonts w:ascii="Georgia" w:cs="Georgia" w:eastAsia="Georgia" w:hAnsi="Georgia"/>
          <w:b w:val="0"/>
          <w:bCs w:val="0"/>
          <w:i w:val="0"/>
          <w:iCs w:val="0"/>
          <w:color w:val="000000"/>
          <w:sz w:val="22"/>
          <w:szCs w:val="22"/>
          <w:rtl w:val="0"/>
        </w:rPr>
        <w:t xml:space="preserve">,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tl w:val="0"/>
        </w:rPr>
      </w:r>
    </w:p>
    <w:p w:rsidR="00000000" w:rsidDel="00000000" w:rsidP="00000000" w:rsidRDefault="00000000" w:rsidRPr="00000000" w14:paraId="0000031B">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cs="Georgia" w:eastAsia="Georgia" w:hAnsi="Georgia"/>
          <w:b w:val="0"/>
          <w:bCs w:val="0"/>
          <w:i w:val="0"/>
          <w:iCs w:val="0"/>
          <w:color w:val="000000"/>
          <w:sz w:val="22"/>
          <w:szCs w:val="22"/>
          <w:rtl w:val="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all treatments are comparable in terms of growth, </w:t>
      </w:r>
      <w:r>
        <w:rPr>
          <w:rFonts w:ascii="Georgia" w:cs="Georgia" w:eastAsia="Georgia" w:hAnsi="Georgia"/>
          <w:b w:val="1"/>
          <w:bCs w:val="1"/>
          <w:strike w:val="0"/>
          <w:color w:val="ffffff"/>
          <w:sz w:val="22"/>
          <w:szCs w:val="22"/>
          <w:highlight w:val="red"/>
          <w:rtl w:val="0"/>
        </w:rPr>
        <w:t xml:space="preserve">implying</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that Fermented Madre de Agua is a viable feed component under these conditions. Feeding 20%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improve final weight, while feeding 10% fermented Madre De Agua </w:t>
      </w:r>
      <w:r>
        <w:rPr>
          <w:rFonts w:ascii="Georgia" w:cs="Georgia" w:eastAsia="Georgia" w:hAnsi="Georgia"/>
          <w:b w:val="1"/>
          <w:bCs w:val="1"/>
          <w:strike w:val="0"/>
          <w:color w:val="000000"/>
          <w:sz w:val="22"/>
          <w:szCs w:val="22"/>
          <w:shd w:fill="00b0f0" w:val="clear"/>
          <w:rtl w:val="0"/>
        </w:rPr>
        <w:t xml:space="preserve">may</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reduce dry matter intake.</w:t>
      </w:r>
      <w:r>
        <w:rPr>
          <w:rtl w:val="0"/>
        </w:rPr>
      </w:r>
    </w:p>
    <w:p w:rsidR="00000000" w:rsidDel="00000000" w:rsidP="00000000" w:rsidRDefault="00000000" w:rsidRPr="00000000" w14:paraId="0000031D">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cs="Georgia" w:eastAsia="Georgia" w:hAnsi="Georgia"/>
          <w:b w:val="0"/>
          <w:bCs w:val="0"/>
          <w:i w:val="0"/>
          <w:iCs w:val="0"/>
          <w:color w:val="000000"/>
          <w:sz w:val="22"/>
          <w:szCs w:val="22"/>
          <w:rtl w:val="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cs="Georgia" w:eastAsia="Georgia" w:hAnsi="Georgia"/>
          <w:b w:val="1"/>
          <w:bCs w:val="1"/>
          <w:strike w:val="1"/>
          <w:color w:val="000000"/>
          <w:sz w:val="22"/>
          <w:szCs w:val="22"/>
          <w:rtl w:val="0"/>
        </w:rPr>
        <w:t xml:space="preserve">indicating</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superior feed efficiency and improved survivability to T2. Based on the results of the study,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to feed mallard ducks with 75% rice porridge and 25% fish entrails during brooding stage at day 1 to day 21 for enhancing weight gain and achieving higher final weights in mallard ducks. Further research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(FP-Gen)</w:t>
      </w:r>
      <w:r>
        <w:rPr>
          <w:rFonts w:ascii="Georgia" w:cs="Georgia" w:eastAsia="Georgia" w:hAnsi="Georgia"/>
          <w:b w:val="0"/>
          <w:bCs w:val="0"/>
          <w:i w:val="0"/>
          <w:iCs w:val="0"/>
          <w:color w:val="000000"/>
          <w:sz w:val="22"/>
          <w:szCs w:val="22"/>
          <w:rtl w:val="0"/>
        </w:rPr>
        <w:t xml:space="preserve"> explore the long-term effects and cost-effectiveness of these treatments and their impact on meat quality and reproductive performance.</w:t>
      </w:r>
      <w:r>
        <w:rPr>
          <w:rtl w:val="0"/>
        </w:rPr>
      </w:r>
    </w:p>
    <w:p w:rsidR="00000000" w:rsidDel="00000000" w:rsidP="00000000" w:rsidRDefault="00000000" w:rsidRPr="00000000" w14:paraId="00000320">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from April 25 to April 30, 2023 to find out the “Efficacy of Diatomaceous Earth (DE) and Neem Tree Extract (Azadirachta indica) on House Fly Larvae (Musca domestica) on Poultry Manure”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w:t>
      </w:r>
      <w:r>
        <w:rPr>
          <w:rFonts w:ascii="Georgia" w:cs="Georgia" w:eastAsia="Georgia" w:hAnsi="Georgia"/>
          <w:b w:val="1"/>
          <w:bCs w:val="1"/>
          <w:strike w:val="0"/>
          <w:color w:val="000000"/>
          <w:sz w:val="22"/>
          <w:szCs w:val="22"/>
          <w:shd w:fill="bfbfbf" w:val="clear"/>
          <w:rtl w:val="0"/>
        </w:rPr>
        <w:t xml:space="preserve">The results disclosed that the percentage of mortality and moisture content were statistically significant at 1% (P&lt;0.01) and (P&lt;0.05) level with 48 hours after the post-treatment</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However, </w:t>
      </w:r>
      <w:r>
        <w:rPr>
          <w:rFonts w:ascii="Georgia" w:cs="Georgia" w:eastAsia="Georgia" w:hAnsi="Georgia"/>
          <w:b w:val="1"/>
          <w:bCs w:val="1"/>
          <w:strike w:val="0"/>
          <w:color w:val="000000"/>
          <w:sz w:val="22"/>
          <w:szCs w:val="22"/>
          <w:shd w:fill="bfbfbf" w:val="clear"/>
          <w:rtl w:val="0"/>
        </w:rPr>
        <w:t xml:space="preserve">mortality rate and moisture content were not significant after 6 hours and 24 hours</w:t>
      </w:r>
      <w:r>
        <w:rPr>
          <w:rFonts w:ascii="Georgia" w:cs="Georgia" w:eastAsia="Georgia" w:hAnsi="Georgia"/>
          <w:b w:val="1"/>
          <w:bCs w:val="1"/>
          <w:i w:val="0"/>
          <w:iCs w:val="0"/>
          <w:color w:val="000000"/>
          <w:sz w:val="20"/>
          <w:szCs w:val="20"/>
          <w:rtl w:val="0"/>
        </w:rPr>
        <w:t xml:space="preserve"> [R]</w:t>
      </w:r>
      <w:r>
        <w:rPr>
          <w:rFonts w:ascii="Georgia" w:cs="Georgia" w:eastAsia="Georgia" w:hAnsi="Georgia"/>
          <w:b w:val="0"/>
          <w:bCs w:val="0"/>
          <w:i w:val="0"/>
          <w:iCs w:val="0"/>
          <w:color w:val="000000"/>
          <w:sz w:val="22"/>
          <w:szCs w:val="22"/>
          <w:rtl w:val="0"/>
        </w:rPr>
        <w:t xml:space="preserve">. Therefore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it is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for future researchers to add Diatomaceous earth and neem tree extract and check the humidity. Extend data collection for 72 hours and 96 hours for future study.</w:t>
      </w:r>
      <w:r>
        <w:rPr>
          <w:rtl w:val="0"/>
        </w:rPr>
      </w:r>
    </w:p>
    <w:p w:rsidR="00000000" w:rsidDel="00000000" w:rsidP="00000000" w:rsidRDefault="00000000" w:rsidRPr="00000000" w14:paraId="00000322">
      <w:pPr>
        <w:keepNext w:val="1"/>
        <w:keepLines w:val="1"/>
        <w:spacing w:before="120" w:after="0" w:line="480" w:lineRule="auto"/>
        <w:jc w:val="left"/>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cs="Georgia" w:eastAsia="Georgia" w:hAnsi="Georgia"/>
          <w:b w:val="0"/>
          <w:bCs w:val="0"/>
          <w:i w:val="0"/>
          <w:iCs w:val="0"/>
          <w:color w:val="000000"/>
          <w:sz w:val="22"/>
          <w:szCs w:val="22"/>
          <w:rtl w:val="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w:t>
      </w:r>
      <w:r>
        <w:rPr>
          <w:rFonts w:ascii="Georgia" w:cs="Georgia" w:eastAsia="Georgia" w:hAnsi="Georgia"/>
          <w:b w:val="0"/>
          <w:bCs w:val="0"/>
          <w:i w:val="0"/>
          <w:iCs w:val="0"/>
          <w:sz w:val="22"/>
          <w:szCs w:val="22"/>
          <w:rtl w:val="0"/>
          <w:color w:val="00B0F0"/>
        </w:rPr>
        <w:t xml:space="preserve">(DO)</w:t>
      </w:r>
      <w:r>
        <w:rPr>
          <w:rFonts w:ascii="Georgia" w:cs="Georgia" w:eastAsia="Georgia" w:hAnsi="Georgia"/>
          <w:b w:val="0"/>
          <w:bCs w:val="0"/>
          <w:i w:val="0"/>
          <w:iCs w:val="0"/>
          <w:color w:val="000000"/>
          <w:sz w:val="22"/>
          <w:szCs w:val="22"/>
          <w:rtl w:val="0"/>
        </w:rPr>
        <w:t xml:space="preserve">, based on the results, it </w:t>
      </w:r>
      <w:r>
        <w:rPr>
          <w:rFonts w:ascii="Georgia" w:cs="Georgia" w:eastAsia="Georgia" w:hAnsi="Georgia"/>
          <w:b w:val="1"/>
          <w:bCs w:val="1"/>
          <w:strike w:val="0"/>
          <w:color w:val="000000"/>
          <w:sz w:val="22"/>
          <w:szCs w:val="22"/>
          <w:shd w:fill="00b0f0" w:val="clear"/>
          <w:rtl w:val="0"/>
        </w:rPr>
        <w:t xml:space="preserve">can</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cs="Georgia" w:eastAsia="Georgia" w:hAnsi="Georgia"/>
          <w:b w:val="1"/>
          <w:bCs w:val="1"/>
          <w:strike w:val="1"/>
          <w:color w:val="000000"/>
          <w:sz w:val="22"/>
          <w:szCs w:val="22"/>
          <w:rtl w:val="0"/>
        </w:rPr>
        <w:t xml:space="preserve">recommended</w:t>
      </w:r>
      <w:r>
        <w:rPr>
          <w:rFonts w:ascii="Georgia" w:cs="Georgia" w:eastAsia="Georgia" w:hAnsi="Georgia"/>
          <w:b w:val="0"/>
          <w:bCs w:val="0"/>
          <w:i w:val="0"/>
          <w:iCs w:val="0"/>
          <w:color w:val="808080"/>
          <w:sz w:val="20"/>
          <w:szCs w:val="20"/>
          <w:rtl w:val="0"/>
        </w:rPr>
        <w:t xml:space="preserve"> (FP-Rec)</w:t>
      </w:r>
      <w:r>
        <w:rPr>
          <w:rFonts w:ascii="Georgia" w:cs="Georgia" w:eastAsia="Georgia" w:hAnsi="Georgia"/>
          <w:b w:val="0"/>
          <w:bCs w:val="0"/>
          <w:i w:val="0"/>
          <w:iCs w:val="0"/>
          <w:color w:val="000000"/>
          <w:sz w:val="22"/>
          <w:szCs w:val="22"/>
          <w:rtl w:val="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cs="Georgia" w:eastAsia="Georgia" w:hAnsi="Georgia"/>
          <w:b w:val="1"/>
          <w:bCs w:val="1"/>
          <w:strike w:val="0"/>
          <w:color w:val="ffffff"/>
          <w:sz w:val="22"/>
          <w:szCs w:val="22"/>
          <w:highlight w:val="red"/>
          <w:rtl w:val="0"/>
        </w:rPr>
        <w:t xml:space="preserve">potential</w:t>
      </w:r>
      <w:r>
        <w:rPr>
          <w:rFonts w:ascii="Georgia" w:cs="Georgia" w:eastAsia="Georgia" w:hAnsi="Georgia"/>
          <w:b w:val="1"/>
          <w:bCs w:val="1"/>
          <w:i w:val="0"/>
          <w:iCs w:val="0"/>
          <w:color w:val="ed7d31"/>
          <w:sz w:val="20"/>
          <w:szCs w:val="20"/>
          <w:rtl w:val="0"/>
        </w:rPr>
        <w:t xml:space="preserve"> (EC)</w:t>
      </w:r>
      <w:r>
        <w:rPr>
          <w:rFonts w:ascii="Georgia" w:cs="Georgia" w:eastAsia="Georgia" w:hAnsi="Georgia"/>
          <w:b w:val="0"/>
          <w:bCs w:val="0"/>
          <w:i w:val="0"/>
          <w:iCs w:val="0"/>
          <w:color w:val="000000"/>
          <w:sz w:val="22"/>
          <w:szCs w:val="22"/>
          <w:rtl w:val="0"/>
        </w:rPr>
        <w:t xml:space="preserve"> as an alternative feed ration for rabbits without adverse effects, and considering that azolla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808080"/>
          <w:sz w:val="20"/>
          <w:szCs w:val="20"/>
          <w:rtl w:val="0"/>
        </w:rPr>
        <w:t xml:space="preserve"> (FP-Cap)</w:t>
      </w:r>
      <w:r>
        <w:rPr>
          <w:rFonts w:ascii="Georgia" w:cs="Georgia" w:eastAsia="Georgia" w:hAnsi="Georgia"/>
          <w:b w:val="0"/>
          <w:bCs w:val="0"/>
          <w:i w:val="0"/>
          <w:iCs w:val="0"/>
          <w:color w:val="000000"/>
          <w:sz w:val="22"/>
          <w:szCs w:val="22"/>
          <w:rtl w:val="0"/>
        </w:rPr>
        <w:t xml:space="preserve"> help breeders to lessen the feed cost in production.</w:t>
      </w:r>
      <w:r>
        <w:rPr>
          <w:rtl w:val="0"/>
        </w:rPr>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