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c>
          <w:tcPr>
            <w:tcW w:w="2769" w:type="dxa"/>
            <w:tcBorders>
              <w:bottom w:val="single" w:sz="18" w:color="000000" w:space="0"/>
            </w:tcBorders>
          </w:tcPr>
          <w:p>
            <w:pPr>
              <w:spacing w:before="0" w:after="0" w:line="240" w:lineRule="auto"/>
              <w:jc w:val="left"/>
            </w:pPr>
            <w:r>
              <w:rPr>
                <w:b w:val="0"/>
                <w:sz w:val="18"/>
              </w:rPr>
              <w:t>indicating (participial)</w:t>
            </w:r>
          </w:p>
        </w:tc>
        <w:tc>
          <w:tcPr>
            <w:tcW w:w="2769" w:type="dxa"/>
            <w:tcBorders>
              <w:bottom w:val="single" w:sz="18" w:color="000000" w:space="0"/>
            </w:tcBorders>
          </w:tcPr>
          <w:p>
            <w:pPr>
              <w:spacing w:before="0" w:after="0" w:line="240" w:lineRule="auto"/>
              <w:jc w:val="left"/>
            </w:pPr>
            <w:r>
              <w:rPr>
                <w:b w:val="0"/>
                <w:sz w:val="18"/>
              </w:rPr>
              <w:t>Introduces an inference beyond the operational definition of the result</w:t>
            </w:r>
          </w:p>
        </w:tc>
        <w:tc>
          <w:tcPr>
            <w:tcW w:w="2769" w:type="dxa"/>
            <w:tcBorders>
              <w:bottom w:val="single" w:sz="18" w:color="000000" w:space="0"/>
            </w:tcBorders>
          </w:tcPr>
          <w:p>
            <w:pPr>
              <w:spacing w:before="0" w:after="0" w:line="240" w:lineRule="auto"/>
              <w:jc w:val="left"/>
            </w:pPr>
            <w:r>
              <w:rPr>
                <w:b w:val="0"/>
                <w:sz w:val="18"/>
              </w:rPr>
              <w:t>Restates the operational meaning of statistical significance</w:t>
            </w:r>
          </w:p>
        </w:tc>
      </w:tr>
      <w:t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cs="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240" w:line="480" w:lineRule="auto"/>
        <w:ind w:firstLine="720"/>
        <w:jc w:val="both"/>
        <w:rPr/>
      </w:pPr>
      <w:r>
        <w:rPr>
          <w:rFonts w:ascii="Times New Roman" w:hAnsi="Times New Roman" w:eastAsia="Times New Roman" w:cs="Times New Roman"/>
          <w:b w:val="0"/>
          <w:sz w:val="22"/>
        </w:rPr>
        <w:t>Table 3 reports each hedge type with the forms attested under that type and the counts by discipline (Biology, Veterinary Medicine, Agriculture). Lexical hedges dominate overall (42 tokens), followed by modal verbs (20) and adverbial hedges (3); no clause-level hedges appear. Agriculture is nearly balanced (13 modal vs. 14 lexical). Biology is heavily lexical (20 of 28). Veterinary Medicine’s small total (10) is also mostly lexical (8), with only 2 modal verbs. Among lexical forms, potential is the single most frequent token (19 instances).</w:t>
      </w:r>
    </w:p>
    <w:p w:rsidR="00000000" w:rsidDel="00000000" w:rsidP="00000000" w:rsidRDefault="00000000" w:rsidRPr="00000000" w14:paraId="00000129">
      <w:pPr>
        <w:spacing w:after="0" w:before="0" w:line="480" w:lineRule="auto"/>
        <w:ind w:firstLine="720"/>
        <w:jc w:val="both"/>
        <w:rPr/>
      </w:pPr>
      <w:r>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cs="Georgia"/>
          <w:b w:val="0"/>
          <w:sz w:val="22"/>
        </w:rPr>
        <w:t>Alongside the 65 retained epistemic caution hedges (and no politeness/deference tokens), the corpus yielded 65 false positive tokens, hedge-like words that failed the claim condition or both removal checks at Step 2. Those retained-hedge and false-positive totals are set out together in Part III.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Pr>
          <w:rFonts w:ascii="Times New Roman" w:hAnsi="Times New Roman" w:cs="Times New Roman" w:eastAsia="Times New Roman"/>
          <w:b w:val="0"/>
          <w:sz w:val="22"/>
          <w:rtl w:val="0"/>
        </w:rPr>
        <w:t>Additionally, 14 unhedged claims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Pr>
          <w:rtl w:val="0"/>
        </w:rPr>
        <w:t xml:space="preserve">A limited count of assertive reporting forms in the 25 zero-hedge abstracts found recurring items such as </w:t>
      </w:r>
      <w:r>
        <w:rPr>
          <w:i w:val="1"/>
          <w:iCs w:val="1"/>
          <w:rtl w:val="0"/>
        </w:rPr>
        <w:t xml:space="preserve">showed, revealed, observed</w:t>
      </w:r>
      <w:r>
        <w:rPr>
          <w:rtl w:val="0"/>
        </w:rPr>
        <w:t xml:space="preserve">, and </w:t>
      </w:r>
      <w:r>
        <w:rPr>
          <w:i w:val="1"/>
          <w:iCs w:val="1"/>
          <w:rtl w:val="0"/>
        </w:rPr>
        <w:t xml:space="preserve">highest</w:t>
      </w:r>
      <w:r>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Pr>
          <w:rFonts w:ascii="Times New Roman" w:hAnsi="Times New Roman" w:cs="Times New Roman"/>
          <w:b w:val="0"/>
          <w:sz w:val="22"/>
          <w:rtl w:val="0"/>
        </w:rPr>
        <w:t>Veterinary Medicine's low density is more difficult to interpret. Many VM abstracts in this corpus reported clinical findings from animal studies (e.g., drug efficacy trials, disease detection, hematological profiling). Outcome-type coding later in this chapter tests the obvious explanation—that VM abstracts mostly report binary results—and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Pr>
          <w:rtl w:val="0"/>
        </w:rPr>
        <w:t xml:space="preserve">The false positive distribution also varies by discipline. Biology produced 34 false positives, far more than Agriculture (17) or Veterinary Medicine (14). This is partly because Biology abstracts contain more instances of “</w:t>
      </w:r>
      <w:r>
        <w:rPr>
          <w:i w:val="1"/>
          <w:iCs w:val="1"/>
          <w:rtl w:val="0"/>
        </w:rPr>
        <w:t xml:space="preserve">potential</w:t>
      </w:r>
      <w:r>
        <w:rPr>
          <w:rtl w:val="0"/>
        </w:rPr>
        <w:t xml:space="preserve">” in aim statements and “</w:t>
      </w:r>
      <w:r>
        <w:rPr>
          <w:i w:val="1"/>
          <w:iCs w:val="1"/>
          <w:rtl w:val="0"/>
        </w:rPr>
        <w:t xml:space="preserve">indicated by</w:t>
      </w:r>
      <w:r>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Times New Roman" w:hAnsi="Times New Roman" w:eastAsia="Times New Roman" w:cs="Times New Roman"/>
          <w:b w:val="0"/>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