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5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Of the retained hedges, all 65 were coded as epistemic caution. Politeness/deference is null (0). False positives totaled 65. Those 65 failed the claim condition or both removal checks. The functional profile of this corpus is therefore uniform on the retained side: when a token counts as a hedge,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No retained hedge was independently labeled politeness/deference. Under the Step 2 rule, only tokens attached to claims that pass the claim condition and at least one removal check enter the retained set. Recommendations and other non-claims are logged as false positives and never reach a politeness/deference label under this scheme. Fifteen recommendation-framed tokens sit in that false-positive pool. A wider definition of interpersonal softening could treat some of them differently. The zero count here is the outcome of the epistemic definition adopted for this study, not a claim that abstracts never soften directives in any linguistic sense. An all–epistemic-caution profile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Forms such as potential and the suggest family typically qualify applications or interpretations. Results sentences in the same abstracts more often use factive reporting verbs without qualification. Table 5.1 shows how the same surface forms are kept or rejected once the claim condition and removal checks are applied. Table 5.2 then samples retained hedges across the three programs.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reads the density and function findings against outcome type and program contrast. The discussion draws on Salager-Meyer’s (1994) claim-responsibility framework and Hyland’s (2005) stance model. Table 6 classifies how each abstract reports its main results. Table 6.1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covers presence/absence or clear yes/no outcomes. Continuous covers graded quantities. Mixed combines both. Null/NS marks non-significant or null findings. Other covers residual formats. Table 6 shows that outcome mix alone does not line up neatly with the density ranking: Veterinary Medicine is not simply a binary-only set, and Biology is not simply continuous-only.</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An informal reading of the tokens still suggests that hedges cluster in implication and conclusion sentences more than in direct results reporting. That pattern is strongest in Agriculture and weakest in Veterinary Medicine. A formal move analysis would be needed to quantify it. Under Salager-Meyer’s (1994) account, writers who hedge implications take partial distance from conclusions that go beyond the measured finding. Veterinary Medicine’s lower density is readable as thinner explicit softening where abstracts turn from results to implications. Unhedged claims were 6 in Agriculture, 4 in Biology, and 4 in Veterinary Medicine (Table 4), so the VM subset does not show more overclaiming on that inventory. Hyland’s (2005) stance model fits the density reading: fewer hedges mean less explicit softening of authorial commitment in the ratified text.</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Outcome type does not remove the Biology–Veterinary Medicine gap. When results are reported as presence/absence findings, VM abstracts still use fewer epistemic softeners than Biology abstracts of the same broad outcome class. That is consistent with programs managing claim responsibility differently, not with a rule that binary evidence needs no hedge. Acs2 illustrates the opposite pole inside Agriculture: after non-significance, residual benefits are still hedged, which redistributes responsibility for a softened positive reading. Table 6.1 places concrete excerpts beside one another so the contrast is visible in the wording, not only in the counts.</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Among these three programs, the descriptive density contrast that stands out is Biology versus Veterinary Medicine. What differs is how these ratified abstracts use English to mark caution around findings and implications: more sustained epistemic softening in the Biology subset, thinner softening in the Veterinary Medicine subset, under overlapping outcome styles.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to hedge. A move-structured count of the VM subset would test that. Second, advisers may filter interpersonal softening out of final abstracts, which would help explain the all–epistemic-caution profile.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pPr>
        <w:spacing w:line="480" w:lineRule="auto"/>
        <w:ind w:firstLine="0"/>
        <w:jc w:val="center"/>
      </w:pPr>
      <w:r>
        <w:rPr>
          <w:i/>
          <w:sz w:val="22"/>
        </w:rPr>
        <w:t>Program Contrast: Sample Excerpts</w:t>
      </w:r>
    </w:p>
    <w:p>
      <w:pPr>
        <w:spacing w:line="480" w:lineRule="auto"/>
        <w:ind w:firstLine="0"/>
        <w:jc w:val="center"/>
      </w:pPr>
      <w:r>
        <w:rPr>
          <w:b/>
          <w:sz w:val="22"/>
        </w:rPr>
        <w:t>Table 6.1</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