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axis.</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4"/>
          <w:szCs w:val="24"/>
        </w:rPr>
        <w:t xml:space="preserve">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Instruction helps.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keepNext w:val="1"/>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in this corpus, Veterinary Medicine abstracts hedge less than Biology abstracts on the corrected pairwise test, a pattern not explained by binary outcome type alone. Causes (field norm, adviser practice, or other factors) cannot be identified from abstract text alone.</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